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 w:line="260" w:lineRule="auto"/>
        <w:jc w:val="center"/>
      </w:pPr>
      <w:r>
        <w:rPr>
          <w:rFonts w:ascii="Calibri" w:hAnsi="Calibri"/>
          <w:b/>
          <w:color w:val="0F2B48"/>
          <w:sz w:val="32"/>
        </w:rPr>
        <w:t xml:space="preserve">Li (Cindy) Xin</w:t>
      </w:r>
    </w:p>
    <w:p>
      <w:pPr>
        <w:spacing w:after="80" w:line="260" w:lineRule="auto"/>
        <w:jc w:val="center"/>
      </w:pPr>
      <w:r>
        <w:rPr>
          <w:rFonts w:ascii="Calibri" w:hAnsi="Calibri"/>
          <w:b/>
          <w:color w:val="2B5876"/>
          <w:sz w:val="21"/>
        </w:rPr>
        <w:t xml:space="preserve">Digital Marketing Lead | B2B Digital Marketing | Campaign Strategy | Marketing Transformation</w:t>
      </w:r>
    </w:p>
    <w:p>
      <w:pPr>
        <w:spacing w:after="200" w:line="260" w:lineRule="auto"/>
        <w:jc w:val="center"/>
      </w:pPr>
      <w:r>
        <w:rPr>
          <w:rFonts w:ascii="Calibri" w:hAnsi="Calibri"/>
          <w:color w:val="555E6D"/>
          <w:sz w:val="18"/>
        </w:rPr>
        <w:t xml:space="preserve">Eindhoven, Netherlands  |  cindy.xin@email.com  |  +31 (0)6-XXXX-XXXX  |  https://linkedin.com/in/cindy-xin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PROFESSIONAL SUMMARY</w:t>
      </w:r>
    </w:p>
    <w:p>
      <w:pPr>
        <w:spacing w:after="160" w:line="260" w:lineRule="auto"/>
      </w:pPr>
      <w:r>
        <w:rPr>
          <w:rFonts w:ascii="Calibri" w:hAnsi="Calibri"/>
          <w:color w:val="2C3442"/>
          <w:sz w:val="19"/>
        </w:rPr>
        <w:t xml:space="preserve">B2B marketing and demand generation professional with 10+ years of experience across multinational organizations in Europe and China. Proven expertise in full-funnel campaign strategy, digital transformation, CRM marketing automation, and cross-functional stakeholder alignment. Demonstrated track record connecting marketing investments to measurable commercial revenue, leveraging Salesforce, GA4, Power BI, and modern AI-assisted workflows to accelerate sales pipeline velocity.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CORE COMPETENCIES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Demand Generation: </w:t>
      </w:r>
      <w:r>
        <w:rPr>
          <w:rFonts w:ascii="Calibri" w:hAnsi="Calibri"/>
          <w:color w:val="2C3442"/>
          <w:sz w:val="18"/>
        </w:rPr>
        <w:t>B2B Demand Generation, Account-Based Marketing (ABM), Multi-channel Lead Generation, Audience Segmentation, Go-to-Market (GTM) Strategy, Pipeline Acceleration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Digital Marketing: </w:t>
      </w:r>
      <w:r>
        <w:rPr>
          <w:rFonts w:ascii="Calibri" w:hAnsi="Calibri"/>
          <w:color w:val="2C3442"/>
          <w:sz w:val="18"/>
        </w:rPr>
        <w:t>Omnichannel Funnel Optimization, SEO/SEM Strategy, Content Marketing &amp; Technical Whitepapers, Social Media Marketing (LinkedIn, WeChat), Webinars &amp; Virtual Events, Inbound Engines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Marketing Analytics: </w:t>
      </w:r>
      <w:r>
        <w:rPr>
          <w:rFonts w:ascii="Calibri" w:hAnsi="Calibri"/>
          <w:color w:val="2C3442"/>
          <w:sz w:val="18"/>
        </w:rPr>
        <w:t>Multi-touch Attribution, Google Analytics 4 (GA4), Power BI Dashboards, Marketing ROI &amp; KPI Frameworks, Conversion Rate Optimization (CRO), MQL-to-SQL Conversion Tracking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Crm And Martech: </w:t>
      </w:r>
      <w:r>
        <w:rPr>
          <w:rFonts w:ascii="Calibri" w:hAnsi="Calibri"/>
          <w:color w:val="2C3442"/>
          <w:sz w:val="18"/>
        </w:rPr>
        <w:t>Marketing Automation, Salesforce (SFDC), Pivotal CRM, Lead Lifecycle Governance, Database Cleansing &amp; Segmentation, Sales &amp; Marketing SLA Alignment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Leadership And Stakeholder: </w:t>
      </w:r>
      <w:r>
        <w:rPr>
          <w:rFonts w:ascii="Calibri" w:hAnsi="Calibri"/>
          <w:color w:val="2C3442"/>
          <w:sz w:val="18"/>
        </w:rPr>
        <w:t>Stakeholder Management, Cross-functional Collaboration, Global HQ &amp; Regional Alignment, External Agency &amp; Vendor Management, Budget Planning &amp; Tracking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b/>
          <w:color w:val="0F2B48"/>
          <w:sz w:val="18"/>
        </w:rPr>
        <w:t xml:space="preserve">•  Digital Transformation And Ai: </w:t>
      </w:r>
      <w:r>
        <w:rPr>
          <w:rFonts w:ascii="Calibri" w:hAnsi="Calibri"/>
          <w:color w:val="2C3442"/>
          <w:sz w:val="18"/>
        </w:rPr>
        <w:t>MarTech Modernization, AI-Enabled Marketing Workflows, Process Standardization, Agile Campaign Delivery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PROFESSIONAL EXPERIENCE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Demand Generation Lead | Bleckmann</w:t>
      </w:r>
      <w:r>
        <w:rPr>
          <w:rFonts w:ascii="Calibri" w:hAnsi="Calibri"/>
          <w:i/>
          <w:color w:val="555E6D"/>
          <w:sz w:val="18"/>
        </w:rPr>
        <w:t xml:space="preserve">  —  Eindhoven, Netherlands | Jul 2026 – Present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Establish comprehensive marketing performance tracking dashboards (GA4, Power BI, Salesforce) to monitor full-funnel attribution, MQL-to-SQL conversion velocity, and campaign ROI.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Spearhead end-to-end B2B demand generation strategies and integrated marketing campaigns across European and international markets to accelerate qualified pipeline growth for supply chain and logistics solutions.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Partner directly with Sales, Business Development, and Regional Leadership to define target account lists (ABM), align go-to-market priorities, and build frictionless lead-to-revenue handover workflows in CRM.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Architect multi-touch inbound and outbound marketing engines across paid digital channels, industry media, technical content assets, and high-impact B2B events to lower CAC and boost sales readiness.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Champion digital marketing enablement and AI-assisted workflow integration to scale campaign production, personalize customer touchpoints, and increase operational agility.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Digital Media Communication Specialist | AkzoNobel</w:t>
      </w:r>
      <w:r>
        <w:rPr>
          <w:rFonts w:ascii="Calibri" w:hAnsi="Calibri"/>
          <w:i/>
          <w:color w:val="555E6D"/>
          <w:sz w:val="18"/>
        </w:rPr>
        <w:t xml:space="preserve">  —  Amsterdam / Sassenheim, Netherlands | 2024 – 2025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digital content editorial calendars, paid/organic social media campaigns (LinkedIn, corporate channels), and executive digital communication assets to enhance brand visibility and audience reach.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Analyzed digital campaign metrics, web traffic data, and engagement benchmarks to deliver actionable optimization insights for global product launches and corporate sustainability initiatives.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Collaborated seamlessly with international brand managers, digital agencies, and cross-functional business units across Europe to execute localized digital communication assets and campaign collateral.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Orchestrated global and regional digital media communication initiatives across corporate and specialty coatings business lines, ensuring brand consistency and message amplification across European markets.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China Marketing Lead / Digital Marketing Lead | Struers (A Danaher Company / Topcon Group)</w:t>
      </w:r>
      <w:r>
        <w:rPr>
          <w:rFonts w:ascii="Calibri" w:hAnsi="Calibri"/>
          <w:i/>
          <w:color w:val="555E6D"/>
          <w:sz w:val="18"/>
        </w:rPr>
        <w:t xml:space="preserve">  —  Shanghai, China &amp; Copenhagen HQ | 2022 – 2023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Designed and executed integrated demand generation and product launch campaigns across key industrial verticals (Automotive, Aerospace, Semiconductor, Academic Research), generating 30%+ increase in qualified leads.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Implemented CRM integration and lead management protocols between marketing channels and sales teams, significantly improving lead tracking, qualification speed, and conversion follow-up.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Led overall China marketing operations and digital go-to-market strategy for a global market leader in materialographic equipment and consumables, reporting to Global HQ in Denmark and local executive management.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Spearheaded B2B digital transformation across the China organization, architecting a localized digital ecosystem including WeChat Official Account, targeted technical webinars, and SEM/SEO inbound lead engines.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annual marketing budgets, creative/technical agencies, and cross-functional alignment between Application Specialists, Product Managers, and Sales Directors.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Senior Marketing Communications Specialist | AMETEK</w:t>
      </w:r>
      <w:r>
        <w:rPr>
          <w:rFonts w:ascii="Calibri" w:hAnsi="Calibri"/>
          <w:i/>
          <w:color w:val="555E6D"/>
          <w:sz w:val="18"/>
        </w:rPr>
        <w:t xml:space="preserve">  —  Shanghai, China | 2018 – 2022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Built and executed full-funnel omni-channel campaigns encompassing international trade exhibitions, proprietary technical seminars, whitepapers, email nurturing tracks, and digital advertising.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Governed Pivotal CRM / Salesforce marketing operations, establishing customer database segmentation, lead routing rules, and sales pipeline alignment across diversified B2B manufacturing verticals.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Standardized vendor management and agency evaluation processes, reducing agency production costs by 15% while improving campaign delivery timelines and asset quality.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comprehensive marketing communication, brand positioning, and lead generation programs across multiple specialized industrial instrument business units within AMETEK China.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Directed content strategy and localized collateral production, translating complex technical instrument specifications into high-impact value propositions and customer-centric case studies.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Public Communications &amp; Marketing Communications Specialist | Public Relations &amp; Communications Agency</w:t>
      </w:r>
      <w:r>
        <w:rPr>
          <w:rFonts w:ascii="Calibri" w:hAnsi="Calibri"/>
          <w:i/>
          <w:color w:val="555E6D"/>
          <w:sz w:val="18"/>
        </w:rPr>
        <w:t xml:space="preserve">  —  Shanghai, China | 2012 – 2018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Formulated and executed integrated PR, media relations, and brand communication campaigns for multinational corporate clients and industrial brands.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Developed deep expertise in audience research, executive storytelling, multi-stakeholder engagement, and integrated campaign planning across traditional and early digital channels.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Managed media outreach, press releases, technical press conferences, and corporate event management to build long-term brand equity and industry thought leadership.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SELECTED PROJECTS &amp; DIGITAL INITIATIVES</w:t>
      </w:r>
    </w:p>
    <w:p>
      <w:pPr>
        <w:spacing w:before="100" w:after="40"/>
      </w:pPr>
      <w:r>
        <w:rPr>
          <w:rFonts w:ascii="Calibri" w:hAnsi="Calibri"/>
          <w:b/>
          <w:color w:val="0F2B48"/>
          <w:sz w:val="20"/>
        </w:rPr>
        <w:t>MapKAI — AI-Assisted Knowledge &amp; Digital Business Project</w:t>
      </w:r>
      <w:r>
        <w:rPr>
          <w:rFonts w:ascii="Calibri" w:hAnsi="Calibri"/>
          <w:i/>
          <w:color w:val="555E6D"/>
          <w:sz w:val="18"/>
        </w:rPr>
        <w:t xml:space="preserve">  —  Founder / Lead Creator</w:t>
      </w:r>
    </w:p>
    <w:p>
      <w:pPr>
        <w:ind w:left="280" w:hanging="200"/>
        <w:spacing w:after="40" w:line="240" w:lineRule="auto"/>
      </w:pPr>
      <w:r>
        <w:rPr>
          <w:rFonts w:ascii="Calibri" w:hAnsi="Calibri"/>
          <w:color w:val="2C3442"/>
          <w:sz w:val="18"/>
        </w:rPr>
        <w:t xml:space="preserve">•  Conceptualized and built an AI-assisted knowledge mapping and digital workflow solution to explore modern AI-enabled user journeys and business productivity tools.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EDUCATION &amp; CREDENTIALS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Master's Degree (MSc) | European University (2023 – 2025)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Bachelor's Degree | University in China (2008 – 2012)</w:t>
      </w:r>
    </w:p>
    <w:p>
      <w:pPr>
        <w:spacing w:after="120" w:line="260" w:lineRule="auto"/>
      </w:pPr>
      <w:r>
        <w:rPr>
          <w:rFonts w:ascii="Calibri" w:hAnsi="Calibri"/>
          <w:color w:val="2C3442"/>
          <w:sz w:val="18"/>
        </w:rPr>
        <w:t xml:space="preserve">• Certifications: Google Analytics (GA4) Certification, Inbound Marketing &amp; CRM Automation, Digital Marketing Strategy</w:t>
      </w:r>
    </w:p>
    <w:p>
      <w:pPr>
        <w:pBdr>
          <w:bottom w:val="single" w:sz="6" w:space="2" w:color="0F2B48"/>
        </w:pBdr>
        <w:spacing w:before="160" w:after="80"/>
      </w:pPr>
      <w:r>
        <w:rPr>
          <w:rFonts w:ascii="Calibri" w:hAnsi="Calibri"/>
          <w:b/>
          <w:color w:val="0F2B48"/>
          <w:sz w:val="22"/>
        </w:rPr>
        <w:t>LANGUAGES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Mandarin Chinese: Native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English: Full Professional Proficiency</w:t>
      </w:r>
    </w:p>
    <w:p>
      <w:pPr>
        <w:spacing w:after="40" w:line="260" w:lineRule="auto"/>
      </w:pPr>
      <w:r>
        <w:rPr>
          <w:rFonts w:ascii="Calibri" w:hAnsi="Calibri"/>
          <w:color w:val="2C3442"/>
          <w:sz w:val="18"/>
        </w:rPr>
        <w:t xml:space="preserve">• Dutch: Beginner / Elementary</w:t>
      </w:r>
    </w:p>
    <w:sectPr>
      <w:pgSz w:w="11906" w:h="16838"/>
      <w:pgMar w:top="1000" w:right="1000" w:bottom="1000" w:left="1000" w:header="708" w:footer="708" w:gutter="0"/>
    </w:sectPr>
  </w:body>
</w:document>
</file>