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 w:line="260" w:lineRule="auto"/>
        <w:jc w:val="center"/>
      </w:pPr>
      <w:r>
        <w:rPr>
          <w:rFonts w:ascii="Calibri" w:hAnsi="Calibri"/>
          <w:b/>
          <w:color w:val="0F2B48"/>
          <w:sz w:val="32"/>
        </w:rPr>
        <w:t xml:space="preserve">Li (Cindy) Xin</w:t>
      </w:r>
    </w:p>
    <w:p>
      <w:pPr>
        <w:spacing w:after="80" w:line="260" w:lineRule="auto"/>
        <w:jc w:val="center"/>
      </w:pPr>
      <w:r>
        <w:rPr>
          <w:rFonts w:ascii="Calibri" w:hAnsi="Calibri"/>
          <w:b/>
          <w:color w:val="2B5876"/>
          <w:sz w:val="21"/>
        </w:rPr>
        <w:t xml:space="preserve">Integrated Marketing Communications Manager | B2B Marketing Leadership | Demand Generation | Marketing Transformation</w:t>
      </w:r>
    </w:p>
    <w:p>
      <w:pPr>
        <w:spacing w:after="200" w:line="260" w:lineRule="auto"/>
        <w:jc w:val="center"/>
      </w:pPr>
      <w:r>
        <w:rPr>
          <w:rFonts w:ascii="Calibri" w:hAnsi="Calibri"/>
          <w:color w:val="555E6D"/>
          <w:sz w:val="18"/>
        </w:rPr>
        <w:t xml:space="preserve">Eindhoven, Netherlands  |  cindy.xin@email.com  |  +31 (0)6-XXXX-XXXX  |  https://linkedin.com/in/cindy-xin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SUMMARY</w:t>
      </w:r>
    </w:p>
    <w:p>
      <w:pPr>
        <w:spacing w:after="160" w:line="260" w:lineRule="auto"/>
      </w:pPr>
      <w:r>
        <w:rPr>
          <w:rFonts w:ascii="Calibri" w:hAnsi="Calibri"/>
          <w:color w:val="2C3442"/>
          <w:sz w:val="19"/>
        </w:rPr>
        <w:t xml:space="preserve">B2B marketing and demand generation professional with 10+ years of experience across multinational organizations in Europe and China. Proven expertise in full-funnel campaign strategy, digital transformation, CRM marketing automation, and cross-functional stakeholder alignment. Demonstrated track record translating high-level business priorities into high-converting multi-channel programs that lower customer acquisition costs and drive sustained brand equity.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CORE COMPETENCIES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Demand Generation: </w:t>
      </w:r>
      <w:r>
        <w:rPr>
          <w:rFonts w:ascii="Calibri" w:hAnsi="Calibri"/>
          <w:color w:val="2C3442"/>
          <w:sz w:val="18"/>
        </w:rPr>
        <w:t>B2B Demand Generation, Account-Based Marketing (ABM), Multi-channel Lead Generation, Audience Segmentation, Go-to-Market (GTM) Strategy, Pipeline Acceleration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Marketing: </w:t>
      </w:r>
      <w:r>
        <w:rPr>
          <w:rFonts w:ascii="Calibri" w:hAnsi="Calibri"/>
          <w:color w:val="2C3442"/>
          <w:sz w:val="18"/>
        </w:rPr>
        <w:t>Omnichannel Funnel Optimization, SEO/SEM Strategy, Content Marketing &amp; Technical Whitepapers, Social Media Marketing (LinkedIn, WeChat), Webinars &amp; Virtual Events, Inbound Engines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Marketing Analytics: </w:t>
      </w:r>
      <w:r>
        <w:rPr>
          <w:rFonts w:ascii="Calibri" w:hAnsi="Calibri"/>
          <w:color w:val="2C3442"/>
          <w:sz w:val="18"/>
        </w:rPr>
        <w:t>Google Analytics 4 (GA4), Power BI Dashboards, Multi-touch Attribution, Marketing ROI &amp; KPI Frameworks, Conversion Rate Optimization (CRO), MQL-to-SQL Conversion Tracking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Crm And Martech: </w:t>
      </w:r>
      <w:r>
        <w:rPr>
          <w:rFonts w:ascii="Calibri" w:hAnsi="Calibri"/>
          <w:color w:val="2C3442"/>
          <w:sz w:val="18"/>
        </w:rPr>
        <w:t>Salesforce (SFDC), Pivotal CRM, Marketing Automation, Lead Lifecycle Governance, Database Cleansing &amp; Segmentation, Sales &amp; Marketing SLA Alignment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Leadership And Stakeholder: </w:t>
      </w:r>
      <w:r>
        <w:rPr>
          <w:rFonts w:ascii="Calibri" w:hAnsi="Calibri"/>
          <w:color w:val="2C3442"/>
          <w:sz w:val="18"/>
        </w:rPr>
        <w:t>Cross-functional Collaboration, Global HQ &amp; Regional Alignment, External Agency &amp; Vendor Management, Budget Planning &amp; Tracking, Stakeholder Management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Transformation And Ai: </w:t>
      </w:r>
      <w:r>
        <w:rPr>
          <w:rFonts w:ascii="Calibri" w:hAnsi="Calibri"/>
          <w:color w:val="2C3442"/>
          <w:sz w:val="18"/>
        </w:rPr>
        <w:t>MarTech Modernization, AI-Enabled Marketing Workflows, Process Standardization, Agile Campaign Delivery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EXPERIENCE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Demand Generation Lead | Bleckmann</w:t>
      </w:r>
      <w:r>
        <w:rPr>
          <w:rFonts w:ascii="Calibri" w:hAnsi="Calibri"/>
          <w:i/>
          <w:color w:val="555E6D"/>
          <w:sz w:val="18"/>
        </w:rPr>
        <w:t xml:space="preserve">  —  Eindhoven, Netherlands | Jul 2026 – Present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 end-to-end B2B demand generation strategies and integrated marketing campaigns across European and international markets to accelerate qualified pipeline growth for supply chain and logistics solutions.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Architect multi-touch inbound and outbound marketing engines across paid digital channels, industry media, technical content assets, and high-impact B2B events to lower CAC and boost sales readiness.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Establish comprehensive marketing performance tracking dashboards (GA4, Power BI, Salesforce) to monitor full-funnel attribution, MQL-to-SQL conversion velocity, and campaign ROI.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Champion digital marketing enablement and AI-assisted workflow integration to scale campaign production, personalize customer touchpoints, and increase operational agility.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Partner directly with Sales, Business Development, and Regional Leadership to define target account lists (ABM), align go-to-market priorities, and build frictionless lead-to-revenue handover workflows in CRM.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Digital Media Communication Specialist | AkzoNobel</w:t>
      </w:r>
      <w:r>
        <w:rPr>
          <w:rFonts w:ascii="Calibri" w:hAnsi="Calibri"/>
          <w:i/>
          <w:color w:val="555E6D"/>
          <w:sz w:val="18"/>
        </w:rPr>
        <w:t xml:space="preserve">  —  Amsterdam / Sassenheim, Netherlands | 2024 – 2025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digital content editorial calendars, paid/organic social media campaigns (LinkedIn, corporate channels), and executive digital communication assets to enhance brand visibility and audience reach.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Analyzed digital campaign metrics, web traffic data, and engagement benchmarks to deliver actionable optimization insights for global product launches and corporate sustainability initiatives.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Collaborated seamlessly with international brand managers, digital agencies, and cross-functional business units across Europe to execute localized digital communication assets and campaign collateral.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Orchestrated global and regional digital media communication initiatives across corporate and specialty coatings business lines, ensuring brand consistency and message amplification across European markets.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China Marketing Lead / Digital Marketing Lead | Struers (A Danaher Company / Topcon Group)</w:t>
      </w:r>
      <w:r>
        <w:rPr>
          <w:rFonts w:ascii="Calibri" w:hAnsi="Calibri"/>
          <w:i/>
          <w:color w:val="555E6D"/>
          <w:sz w:val="18"/>
        </w:rPr>
        <w:t xml:space="preserve">  —  Shanghai, China &amp; Copenhagen HQ | 2022 – 2023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Designed and executed integrated demand generation and product launch campaigns across key industrial verticals (Automotive, Aerospace, Semiconductor, Academic Research), generating 30%+ increase in qualified leads.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Led overall China marketing operations and digital go-to-market strategy for a global market leader in materialographic equipment and consumables, reporting to Global HQ in Denmark and local executive management.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Spearheaded B2B digital transformation across the China organization, architecting a localized digital ecosystem including WeChat Official Account, targeted technical webinars, and SEM/SEO inbound lead engines.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Implemented CRM integration and lead management protocols between marketing channels and sales teams, significantly improving lead tracking, qualification speed, and conversion follow-up.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annual marketing budgets, creative/technical agencies, and cross-functional alignment between Application Specialists, Product Managers, and Sales Directors.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Senior Marketing Communications Specialist | AMETEK</w:t>
      </w:r>
      <w:r>
        <w:rPr>
          <w:rFonts w:ascii="Calibri" w:hAnsi="Calibri"/>
          <w:i/>
          <w:color w:val="555E6D"/>
          <w:sz w:val="18"/>
        </w:rPr>
        <w:t xml:space="preserve">  —  Shanghai, China | 2018 – 2022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Built and executed full-funnel omni-channel campaigns encompassing international trade exhibitions, proprietary technical seminars, whitepapers, email nurturing tracks, and digital advertising.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Standardized vendor management and agency evaluation processes, reducing agency production costs by 15% while improving campaign delivery timelines and asset quality.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comprehensive marketing communication, brand positioning, and lead generation programs across multiple specialized industrial instrument business units within AMETEK China.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Governed Pivotal CRM / Salesforce marketing operations, establishing customer database segmentation, lead routing rules, and sales pipeline alignment across diversified B2B manufacturing verticals.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Directed content strategy and localized collateral production, translating complex technical instrument specifications into high-impact value propositions and customer-centric case studies.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Public Communications &amp; Marketing Communications Specialist | Public Relations &amp; Communications Agency</w:t>
      </w:r>
      <w:r>
        <w:rPr>
          <w:rFonts w:ascii="Calibri" w:hAnsi="Calibri"/>
          <w:i/>
          <w:color w:val="555E6D"/>
          <w:sz w:val="18"/>
        </w:rPr>
        <w:t xml:space="preserve">  —  Shanghai, China | 2012 – 2018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Formulated and executed integrated PR, media relations, and brand communication campaigns for multinational corporate clients and industrial brands.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Developed deep expertise in audience research, executive storytelling, multi-stakeholder engagement, and integrated campaign planning across traditional and early digital channels.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media outreach, press releases, technical press conferences, and corporate event management to build long-term brand equity and industry thought leadership.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SELECTED PROJECTS &amp; DIGITAL INITIATIVES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MapKAI — AI-Assisted Knowledge &amp; Digital Business Project</w:t>
      </w:r>
      <w:r>
        <w:rPr>
          <w:rFonts w:ascii="Calibri" w:hAnsi="Calibri"/>
          <w:i/>
          <w:color w:val="555E6D"/>
          <w:sz w:val="18"/>
        </w:rPr>
        <w:t xml:space="preserve">  —  Founder / Lead Creator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Conceptualized and built an AI-assisted knowledge mapping and digital workflow solution to explore modern AI-enabled user journeys and business productivity tools.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EDUCATION &amp; CREDENTIALS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Master's Degree (MSc) | European University (2023 – 2025)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Bachelor's Degree | University in China (2008 – 2012)</w:t>
      </w:r>
    </w:p>
    <w:p>
      <w:pPr>
        <w:spacing w:after="120" w:line="260" w:lineRule="auto"/>
      </w:pPr>
      <w:r>
        <w:rPr>
          <w:rFonts w:ascii="Calibri" w:hAnsi="Calibri"/>
          <w:color w:val="2C3442"/>
          <w:sz w:val="18"/>
        </w:rPr>
        <w:t xml:space="preserve">• Certifications: Google Analytics (GA4) Certification, Inbound Marketing &amp; CRM Automation, Digital Marketing Strategy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LANGUAGES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Mandarin Chinese: Native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English: Full Professional Proficiency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Dutch: Beginner / Elementary</w:t>
      </w:r>
    </w:p>
    <w:sectPr>
      <w:pgSz w:w="11906" w:h="16838"/>
      <w:pgMar w:top="1000" w:right="1000" w:bottom="1000" w:left="1000" w:header="708" w:footer="708" w:gutter="0"/>
    </w:sectPr>
  </w:body>
</w:document>
</file>