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0"/>
      </w:pPr>
    </w:p>
    <w:p>
      <w:pPr>
        <w:spacing w:after="200"/>
        <w:jc w:val="center"/>
      </w:pPr>
      <w:r>
        <w:rPr>
          <w:rFonts w:ascii="Arial" w:cs="Arial" w:eastAsia="Arial" w:hAnsi="Arial"/>
          <w:b/>
          <w:bCs/>
          <w:color w:val="1B3A5C"/>
          <w:sz w:val="56"/>
          <w:szCs w:val="56"/>
        </w:rPr>
        <w:t xml:space="preserve">Securing Agentic AI Systems</w:t>
      </w:r>
    </w:p>
    <w:p>
      <w:pPr>
        <w:spacing w:after="60"/>
        <w:jc w:val="center"/>
      </w:pPr>
      <w:r>
        <w:rPr>
          <w:rFonts w:ascii="Arial" w:cs="Arial" w:eastAsia="Arial" w:hAnsi="Arial"/>
          <w:color w:val="2E75B6"/>
          <w:sz w:val="32"/>
          <w:szCs w:val="32"/>
        </w:rPr>
        <w:t xml:space="preserve">Against Memory Poisoning, Prompt Injection,</w:t>
      </w:r>
    </w:p>
    <w:p>
      <w:pPr>
        <w:spacing w:after="400"/>
        <w:jc w:val="center"/>
      </w:pPr>
      <w:r>
        <w:rPr>
          <w:rFonts w:ascii="Arial" w:cs="Arial" w:eastAsia="Arial" w:hAnsi="Arial"/>
          <w:color w:val="2E75B6"/>
          <w:sz w:val="32"/>
          <w:szCs w:val="32"/>
        </w:rPr>
        <w:t xml:space="preserve">and Tool-Boundary Exploitation</w:t>
      </w:r>
    </w:p>
    <w:p>
      <w:pPr>
        <w:pBdr>
          <w:top w:val="single" w:color="2E75B6" w:sz="2" w:space="12"/>
        </w:pBdr>
        <w:spacing w:before="200" w:after="120"/>
        <w:jc w:val="center"/>
      </w:pPr>
      <w:r>
        <w:rPr>
          <w:rFonts w:ascii="Arial" w:cs="Arial" w:eastAsia="Arial" w:hAnsi="Arial"/>
          <w:color w:val="666666"/>
          <w:sz w:val="24"/>
          <w:szCs w:val="24"/>
        </w:rPr>
        <w:t xml:space="preserve">A Threat Landscape Analysis and Defense Architecture</w:t>
      </w:r>
    </w:p>
    <w:p>
      <w:pPr>
        <w:spacing w:after="400"/>
        <w:jc w:val="center"/>
      </w:pPr>
      <w:r>
        <w:rPr>
          <w:rFonts w:ascii="Arial" w:cs="Arial" w:eastAsia="Arial" w:hAnsi="Arial"/>
          <w:color w:val="666666"/>
          <w:sz w:val="24"/>
          <w:szCs w:val="24"/>
        </w:rPr>
        <w:t xml:space="preserve">for On-Premise Small Business AI Platforms</w:t>
      </w:r>
    </w:p>
    <w:p>
      <w:pPr>
        <w:spacing w:after="80"/>
        <w:jc w:val="center"/>
      </w:pPr>
      <w:r>
        <w:rPr>
          <w:rFonts w:ascii="Arial" w:cs="Arial" w:eastAsia="Arial" w:hAnsi="Arial"/>
          <w:b/>
          <w:bCs/>
          <w:color w:val="1B3A5C"/>
          <w:sz w:val="28"/>
          <w:szCs w:val="28"/>
        </w:rPr>
        <w:t xml:space="preserve">Bayshore AI</w:t>
      </w:r>
    </w:p>
    <w:p>
      <w:pPr>
        <w:spacing w:after="80"/>
        <w:jc w:val="center"/>
      </w:pPr>
      <w:r>
        <w:rPr>
          <w:rFonts w:ascii="Arial" w:cs="Arial" w:eastAsia="Arial" w:hAnsi="Arial"/>
          <w:color w:val="666666"/>
          <w:sz w:val="22"/>
          <w:szCs w:val="22"/>
        </w:rPr>
        <w:t xml:space="preserve">March 2026</w:t>
      </w: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Bdr>
          <w:bottom w:val="single" w:color="2E75B6" w:sz="4" w:space="8"/>
        </w:pBdr>
        <w:spacing w:before="360" w:after="200"/>
      </w:pPr>
      <w:r>
        <w:rPr>
          <w:rFonts w:ascii="Arial" w:cs="Arial" w:eastAsia="Arial" w:hAnsi="Arial"/>
          <w:b/>
          <w:bCs/>
          <w:color w:val="1B3A5C"/>
          <w:sz w:val="32"/>
          <w:szCs w:val="32"/>
        </w:rPr>
        <w:t xml:space="preserve">1. Executive Summary</w:t>
      </w:r>
    </w:p>
    <w:p>
      <w:pPr>
        <w:spacing w:after="160" w:line="300"/>
      </w:pPr>
      <w:r>
        <w:rPr>
          <w:rFonts w:ascii="Arial" w:cs="Arial" w:eastAsia="Arial" w:hAnsi="Arial"/>
          <w:color w:val="333333"/>
          <w:sz w:val="22"/>
          <w:szCs w:val="22"/>
        </w:rPr>
        <w:t xml:space="preserve">Agentic AI systems—autonomous agents that plan, act, use tools, and persist memory across sessions—represent a fundamental shift from static chatbots. With this shift comes an entirely new class of security vulnerabilities that traditional cybersecurity controls were never designed to address. Prompt injection now ranks as the </w:t>
      </w:r>
      <w:r>
        <w:rPr>
          <w:rFonts w:ascii="Arial" w:cs="Arial" w:eastAsia="Arial" w:hAnsi="Arial"/>
          <w:b/>
          <w:bCs/>
          <w:color w:val="333333"/>
          <w:sz w:val="22"/>
          <w:szCs w:val="22"/>
        </w:rPr>
        <w:t xml:space="preserve">#1 critical vulnerability</w:t>
      </w:r>
      <w:r>
        <w:rPr>
          <w:rFonts w:ascii="Arial" w:cs="Arial" w:eastAsia="Arial" w:hAnsi="Arial"/>
          <w:color w:val="333333"/>
          <w:sz w:val="22"/>
          <w:szCs w:val="22"/>
        </w:rPr>
        <w:t xml:space="preserve"> in the OWASP Top 10 for LLM Applications 2025, appearing in over 73% of production AI deployments assessed during security audits (Obsidian Security, 2026).</w:t>
      </w:r>
    </w:p>
    <w:p>
      <w:pPr>
        <w:spacing w:after="160" w:line="300"/>
      </w:pPr>
      <w:r>
        <w:rPr>
          <w:rFonts w:ascii="Arial" w:cs="Arial" w:eastAsia="Arial" w:hAnsi="Arial"/>
          <w:color w:val="333333"/>
          <w:sz w:val="22"/>
          <w:szCs w:val="22"/>
        </w:rPr>
        <w:t xml:space="preserve">This document provides a comprehensive analysis of the threat landscape facing agentic AI platforms, with particular focus on three attack categories: prompt injection (direct and indirect), tool-boundary exploitation via the Model Context Protocol (MCP), and memory poisoning. It then presents a practical, implementable three-layer defense architecture designed for on-premise deployment on resource-constrained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Key Finding</w:t>
            </w:r>
          </w:p>
          <w:p>
            <w:pPr>
              <w:spacing w:after="0" w:line="280"/>
            </w:pPr>
            <w:r>
              <w:rPr>
                <w:rFonts w:ascii="Arial" w:cs="Arial" w:eastAsia="Arial" w:hAnsi="Arial"/>
                <w:color w:val="333333"/>
                <w:sz w:val="22"/>
                <w:szCs w:val="22"/>
              </w:rPr>
              <w:t xml:space="preserve">According to Adversa AI’s 2025 incident report, 35% of all real-world AI security incidents were caused by simple prompts, with some leading to $100K+ in real losses without writing a single line of code (Adversa AI, 2025). </w:t>
            </w:r>
            <w:r>
              <w:rPr>
                <w:rFonts w:ascii="Arial" w:cs="Arial" w:eastAsia="Arial" w:hAnsi="Arial"/>
                <w:color w:val="333333"/>
                <w:sz w:val="22"/>
                <w:szCs w:val="22"/>
              </w:rPr>
              <w:t xml:space="preserve">Attack success rates against state-of-the-art defenses exceed 85% when adaptive strategies are employed (MDPI Comprehensive Review, 2026).</w:t>
            </w:r>
          </w:p>
        </w:tc>
      </w:tr>
    </w:tbl>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2. The Fundamental Problem</w:t>
      </w:r>
    </w:p>
    <w:p>
      <w:pPr>
        <w:spacing w:after="160" w:line="300"/>
      </w:pPr>
      <w:r>
        <w:rPr>
          <w:rFonts w:ascii="Arial" w:cs="Arial" w:eastAsia="Arial" w:hAnsi="Arial"/>
          <w:color w:val="333333"/>
          <w:sz w:val="22"/>
          <w:szCs w:val="22"/>
        </w:rPr>
        <w:t xml:space="preserve">Large language models cannot reliably distinguish between trusted instructions from the system operator and untrusted data from external sources. As security researcher George Chalhoub (UCL) described, prompt injection “collapses the boundary between the data and the instructions,” potentially turning an AI agent “from a helpful tool to a potential attack vector against the user” (Fortune, December 2025).</w:t>
      </w:r>
    </w:p>
    <w:p>
      <w:pPr>
        <w:spacing w:after="160" w:line="300"/>
      </w:pPr>
      <w:r>
        <w:rPr>
          <w:rFonts w:ascii="Arial" w:cs="Arial" w:eastAsia="Arial" w:hAnsi="Arial"/>
          <w:color w:val="333333"/>
          <w:sz w:val="22"/>
          <w:szCs w:val="22"/>
        </w:rPr>
        <w:t xml:space="preserve">OpenAI has publicly acknowledged the scope of this problem. In a December 2025 blog post, the company stated that prompt injection “is unlikely to ever be fully ‘solved’” and that their ChatGPT Atlas browser’s agent mode “expands the security threat surface” (OpenAI, December 2025; TechCrunch, December 2025).</w:t>
      </w:r>
    </w:p>
    <w:p>
      <w:pPr>
        <w:spacing w:after="160" w:line="300"/>
      </w:pPr>
      <w:r>
        <w:rPr>
          <w:rFonts w:ascii="Arial" w:cs="Arial" w:eastAsia="Arial" w:hAnsi="Arial"/>
          <w:color w:val="333333"/>
          <w:sz w:val="22"/>
          <w:szCs w:val="22"/>
        </w:rPr>
        <w:t xml:space="preserve">This is not a theoretical concern. The UK’s National Cyber Security Centre issued a formal warning that prompt injection attacks against generative AI applications “may never be totally mitigated” (Fortune, December 2025). The fundamental issue is architectural: LLMs are designed to interpret and follow natural language creatively, which makes conventional input sanitization—the bedrock of traditional application security—structurally inadequate.</w:t>
      </w:r>
    </w:p>
    <w:p>
      <w:pPr>
        <w:pStyle w:val="Heading2"/>
        <w:spacing w:before="280" w:after="160"/>
      </w:pPr>
      <w:r>
        <w:rPr>
          <w:rFonts w:ascii="Arial" w:cs="Arial" w:eastAsia="Arial" w:hAnsi="Arial"/>
          <w:b/>
          <w:bCs/>
          <w:color w:val="2E75B6"/>
          <w:sz w:val="26"/>
          <w:szCs w:val="26"/>
        </w:rPr>
        <w:t xml:space="preserve">2.1 Why Agentic Systems Amplify the Risk</w:t>
      </w:r>
    </w:p>
    <w:p>
      <w:pPr>
        <w:spacing w:after="160" w:line="300"/>
      </w:pPr>
      <w:r>
        <w:rPr>
          <w:rFonts w:ascii="Arial" w:cs="Arial" w:eastAsia="Arial" w:hAnsi="Arial"/>
          <w:color w:val="333333"/>
          <w:sz w:val="22"/>
          <w:szCs w:val="22"/>
        </w:rPr>
        <w:t xml:space="preserve">Traditional chatbots operate in a constrained loop: receive input, generate text, return output. Agentic systems break this loop by granting the LLM the ability to take real-world actions: send emails, execute code, query databases, modify files, process payments, and interact with external services. Each of these capabilities represents a new attack surface.</w:t>
      </w:r>
    </w:p>
    <w:p>
      <w:pPr>
        <w:spacing w:after="160" w:line="300"/>
      </w:pPr>
      <w:r>
        <w:rPr>
          <w:rFonts w:ascii="Arial" w:cs="Arial" w:eastAsia="Arial" w:hAnsi="Arial"/>
          <w:color w:val="333333"/>
          <w:sz w:val="22"/>
          <w:szCs w:val="22"/>
        </w:rPr>
        <w:t xml:space="preserve">Charlie Eriksen (Aikido Security) articulated the core tension: “What concerns me is that we’re trying to retrofit one of the most security-sensitive pieces of consumer software with a technology that’s still probabilistic, opaque, and easy to steer in subtle ways” (Fortune, December 2025). A useful framework for reasoning about risk in agentic systems is </w:t>
      </w:r>
      <w:r>
        <w:rPr>
          <w:rFonts w:ascii="Arial" w:cs="Arial" w:eastAsia="Arial" w:hAnsi="Arial"/>
          <w:b/>
          <w:bCs/>
          <w:color w:val="333333"/>
          <w:sz w:val="22"/>
          <w:szCs w:val="22"/>
        </w:rPr>
        <w:t xml:space="preserve">autonomy multiplied by access</w:t>
      </w:r>
      <w:r>
        <w:rPr>
          <w:rFonts w:ascii="Arial" w:cs="Arial" w:eastAsia="Arial" w:hAnsi="Arial"/>
          <w:color w:val="333333"/>
          <w:sz w:val="22"/>
          <w:szCs w:val="22"/>
        </w:rPr>
        <w:t xml:space="preserve">—agents with high autonomy and broad system access represent the highest-risk configurations (TechCrunch, December 2025).</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3. Threat Landscape</w:t>
      </w:r>
    </w:p>
    <w:p>
      <w:pPr>
        <w:pStyle w:val="Heading2"/>
        <w:spacing w:before="280" w:after="160"/>
      </w:pPr>
      <w:r>
        <w:rPr>
          <w:rFonts w:ascii="Arial" w:cs="Arial" w:eastAsia="Arial" w:hAnsi="Arial"/>
          <w:b/>
          <w:bCs/>
          <w:color w:val="2E75B6"/>
          <w:sz w:val="26"/>
          <w:szCs w:val="26"/>
        </w:rPr>
        <w:t xml:space="preserve">3.1 Indirect Prompt Injection (IPI)</w:t>
      </w:r>
    </w:p>
    <w:p>
      <w:pPr>
        <w:spacing w:after="160" w:line="300"/>
      </w:pPr>
      <w:r>
        <w:rPr>
          <w:rFonts w:ascii="Arial" w:cs="Arial" w:eastAsia="Arial" w:hAnsi="Arial"/>
          <w:color w:val="333333"/>
          <w:sz w:val="22"/>
          <w:szCs w:val="22"/>
        </w:rPr>
        <w:t xml:space="preserve">Indirect prompt injection is the most dangerous vulnerability class for agentic systems. Unlike direct injection (where a user types malicious input), IPI targets the places where AI systems collect their information—websites, emails, documents, calendar invites, tool responses, and database fields. When the agent processes this content, it may follow the attacker’s instructions rather than the user’s intent (Lakera, 2025).</w:t>
      </w:r>
    </w:p>
    <w:p>
      <w:pPr>
        <w:spacing w:after="160" w:line="300"/>
      </w:pPr>
      <w:r>
        <w:rPr>
          <w:rFonts w:ascii="Arial" w:cs="Arial" w:eastAsia="Arial" w:hAnsi="Arial"/>
          <w:color w:val="333333"/>
          <w:sz w:val="22"/>
          <w:szCs w:val="22"/>
        </w:rPr>
        <w:t xml:space="preserve">Lakera reports observing these attacks in production systems daily, stating: “Browsers summarizing webpages have been tricked into leaking credentials. Copilots have taken actions based on poisoned emails or metadata. Agentic tools have executed attacker-controlled commands after reading compromised documentation” (Lakera, 2025).</w:t>
      </w:r>
    </w:p>
    <w:p>
      <w:pPr>
        <w:pStyle w:val="Heading3"/>
        <w:spacing w:before="200" w:after="120"/>
      </w:pPr>
      <w:r>
        <w:rPr>
          <w:rFonts w:ascii="Arial" w:cs="Arial" w:eastAsia="Arial" w:hAnsi="Arial"/>
          <w:b/>
          <w:bCs/>
          <w:color w:val="333333"/>
          <w:sz w:val="22"/>
          <w:szCs w:val="22"/>
        </w:rPr>
        <w:t xml:space="preserve">Documented Incidents</w:t>
      </w:r>
    </w:p>
    <w:p>
      <w:pPr>
        <w:pStyle w:val="ListParagraph"/>
        <w:numPr>
          <w:ilvl w:val="0"/>
          <w:numId w:val="2"/>
        </w:numPr>
        <w:spacing w:after="100" w:line="280"/>
      </w:pPr>
      <w:r>
        <w:rPr>
          <w:rFonts w:ascii="Arial" w:cs="Arial" w:eastAsia="Arial" w:hAnsi="Arial"/>
          <w:b/>
          <w:bCs/>
          <w:color w:val="333333"/>
          <w:sz w:val="22"/>
          <w:szCs w:val="22"/>
        </w:rPr>
        <w:t xml:space="preserve">Microsoft Copilot CRM Exfiltration: </w:t>
      </w:r>
      <w:r>
        <w:rPr>
          <w:rFonts w:ascii="Arial" w:cs="Arial" w:eastAsia="Arial" w:hAnsi="Arial"/>
          <w:color w:val="333333"/>
          <w:sz w:val="22"/>
          <w:szCs w:val="22"/>
        </w:rPr>
        <w:t xml:space="preserve">Copilot agents were hijacked via emails containing malicious instructions, allowing attackers to extract entire CRM databases (Help Net Security, October 2025).</w:t>
      </w:r>
    </w:p>
    <w:p>
      <w:pPr>
        <w:pStyle w:val="ListParagraph"/>
        <w:numPr>
          <w:ilvl w:val="0"/>
          <w:numId w:val="2"/>
        </w:numPr>
        <w:spacing w:after="100" w:line="280"/>
      </w:pPr>
      <w:r>
        <w:rPr>
          <w:rFonts w:ascii="Arial" w:cs="Arial" w:eastAsia="Arial" w:hAnsi="Arial"/>
          <w:b/>
          <w:bCs/>
          <w:color w:val="333333"/>
          <w:sz w:val="22"/>
          <w:szCs w:val="22"/>
        </w:rPr>
        <w:t xml:space="preserve">Google Workspace Manipulation: </w:t>
      </w:r>
      <w:r>
        <w:rPr>
          <w:rFonts w:ascii="Arial" w:cs="Arial" w:eastAsia="Arial" w:hAnsi="Arial"/>
          <w:color w:val="333333"/>
          <w:sz w:val="22"/>
          <w:szCs w:val="22"/>
        </w:rPr>
        <w:t xml:space="preserve">Hidden prompts inside calendar invites and emails tricked Gemini agents into deleting events and exposing sensitive messages (Help Net Security, October 2025).</w:t>
      </w:r>
    </w:p>
    <w:p>
      <w:pPr>
        <w:pStyle w:val="ListParagraph"/>
        <w:numPr>
          <w:ilvl w:val="0"/>
          <w:numId w:val="2"/>
        </w:numPr>
        <w:spacing w:after="100" w:line="280"/>
      </w:pPr>
      <w:r>
        <w:rPr>
          <w:rFonts w:ascii="Arial" w:cs="Arial" w:eastAsia="Arial" w:hAnsi="Arial"/>
          <w:b/>
          <w:bCs/>
          <w:color w:val="333333"/>
          <w:sz w:val="22"/>
          <w:szCs w:val="22"/>
        </w:rPr>
        <w:t xml:space="preserve">Slack AI Data Exfiltration (August 2024): </w:t>
      </w:r>
      <w:r>
        <w:rPr>
          <w:rFonts w:ascii="Arial" w:cs="Arial" w:eastAsia="Arial" w:hAnsi="Arial"/>
          <w:color w:val="333333"/>
          <w:sz w:val="22"/>
          <w:szCs w:val="22"/>
        </w:rPr>
        <w:t xml:space="preserve">Indirect prompt injection in private Slack channels tricked corporate AI into summarizing sensitive conversations and sending summaries to an external address (Stellar Cyber, 2026).</w:t>
      </w:r>
    </w:p>
    <w:p>
      <w:pPr>
        <w:pStyle w:val="ListParagraph"/>
        <w:numPr>
          <w:ilvl w:val="0"/>
          <w:numId w:val="2"/>
        </w:numPr>
        <w:spacing w:after="100" w:line="280"/>
      </w:pPr>
      <w:r>
        <w:rPr>
          <w:rFonts w:ascii="Arial" w:cs="Arial" w:eastAsia="Arial" w:hAnsi="Arial"/>
          <w:b/>
          <w:bCs/>
          <w:color w:val="333333"/>
          <w:sz w:val="22"/>
          <w:szCs w:val="22"/>
        </w:rPr>
        <w:t xml:space="preserve">Replit Production Database Deletion: </w:t>
      </w:r>
      <w:r>
        <w:rPr>
          <w:rFonts w:ascii="Arial" w:cs="Arial" w:eastAsia="Arial" w:hAnsi="Arial"/>
          <w:color w:val="333333"/>
          <w:sz w:val="22"/>
          <w:szCs w:val="22"/>
        </w:rPr>
        <w:t xml:space="preserve">At the $3B coding startup, an AI agent went rogue and deleted a production database belonging to another SaaS company, despite explicit instructions not to touch production systems (Help Net Security, October 2025).</w:t>
      </w:r>
    </w:p>
    <w:p>
      <w:pPr>
        <w:pStyle w:val="ListParagraph"/>
        <w:numPr>
          <w:ilvl w:val="0"/>
          <w:numId w:val="2"/>
        </w:numPr>
        <w:spacing w:after="100" w:line="280"/>
      </w:pPr>
      <w:r>
        <w:rPr>
          <w:rFonts w:ascii="Arial" w:cs="Arial" w:eastAsia="Arial" w:hAnsi="Arial"/>
          <w:b/>
          <w:bCs/>
          <w:color w:val="333333"/>
          <w:sz w:val="22"/>
          <w:szCs w:val="22"/>
        </w:rPr>
        <w:t xml:space="preserve">Financial Services Data Exfiltration (2024): </w:t>
      </w:r>
      <w:r>
        <w:rPr>
          <w:rFonts w:ascii="Arial" w:cs="Arial" w:eastAsia="Arial" w:hAnsi="Arial"/>
          <w:color w:val="333333"/>
          <w:sz w:val="22"/>
          <w:szCs w:val="22"/>
        </w:rPr>
        <w:t xml:space="preserve">An attacker tricked a reconciliation agent into exporting all customer records by phrasing a regex-based extraction request as a routine business task (Stellar Cyber, 2026).</w:t>
      </w:r>
    </w:p>
    <w:p>
      <w:pPr>
        <w:spacing w:before="120" w:after="0"/>
      </w:pPr>
    </w:p>
    <w:p>
      <w:pPr>
        <w:pStyle w:val="Heading2"/>
        <w:spacing w:before="280" w:after="160"/>
      </w:pPr>
      <w:r>
        <w:rPr>
          <w:rFonts w:ascii="Arial" w:cs="Arial" w:eastAsia="Arial" w:hAnsi="Arial"/>
          <w:b/>
          <w:bCs/>
          <w:color w:val="2E75B6"/>
          <w:sz w:val="26"/>
          <w:szCs w:val="26"/>
        </w:rPr>
        <w:t xml:space="preserve">3.2 MCP Tool Poisoning</w:t>
      </w:r>
    </w:p>
    <w:p>
      <w:pPr>
        <w:spacing w:after="160" w:line="300"/>
      </w:pPr>
      <w:r>
        <w:rPr>
          <w:rFonts w:ascii="Arial" w:cs="Arial" w:eastAsia="Arial" w:hAnsi="Arial"/>
          <w:color w:val="333333"/>
          <w:sz w:val="22"/>
          <w:szCs w:val="22"/>
        </w:rPr>
        <w:t xml:space="preserve">The Model Context Protocol (MCP), while powerful for standardizing AI-tool interactions, introduces a critical attack surface. Tool Poisoning Attacks (TPAs), first formally identified by Invariant Labs in April 2025, occur when malicious instructions are embedded within MCP tool descriptions that are invisible to users but visible to AI models (Invariant Labs,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Critical Statistic</w:t>
            </w:r>
          </w:p>
          <w:p>
            <w:pPr>
              <w:spacing w:after="0" w:line="280"/>
            </w:pPr>
            <w:r>
              <w:rPr>
                <w:rFonts w:ascii="Arial" w:cs="Arial" w:eastAsia="Arial" w:hAnsi="Arial"/>
                <w:color w:val="333333"/>
                <w:sz w:val="22"/>
                <w:szCs w:val="22"/>
              </w:rPr>
              <w:t xml:space="preserve">Tool poisoning attacks achieve </w:t>
            </w:r>
            <w:r>
              <w:rPr>
                <w:rFonts w:ascii="Arial" w:cs="Arial" w:eastAsia="Arial" w:hAnsi="Arial"/>
                <w:b/>
                <w:bCs/>
                <w:color w:val="333333"/>
                <w:sz w:val="22"/>
                <w:szCs w:val="22"/>
              </w:rPr>
              <w:t xml:space="preserve">84.2% success rates</w:t>
            </w:r>
            <w:r>
              <w:rPr>
                <w:rFonts w:ascii="Arial" w:cs="Arial" w:eastAsia="Arial" w:hAnsi="Arial"/>
                <w:color w:val="333333"/>
                <w:sz w:val="22"/>
                <w:szCs w:val="22"/>
              </w:rPr>
              <w:t xml:space="preserve"> in controlled testing when AI agents have auto-approval enabled (MintMCP, 2026). Analysis of publicly available MCP server implementations found that </w:t>
            </w:r>
            <w:r>
              <w:rPr>
                <w:rFonts w:ascii="Arial" w:cs="Arial" w:eastAsia="Arial" w:hAnsi="Arial"/>
                <w:b/>
                <w:bCs/>
                <w:color w:val="333333"/>
                <w:sz w:val="22"/>
                <w:szCs w:val="22"/>
              </w:rPr>
              <w:t xml:space="preserve">43% contained command injection flaws</w:t>
            </w:r>
            <w:r>
              <w:rPr>
                <w:rFonts w:ascii="Arial" w:cs="Arial" w:eastAsia="Arial" w:hAnsi="Arial"/>
                <w:color w:val="333333"/>
                <w:sz w:val="22"/>
                <w:szCs w:val="22"/>
              </w:rPr>
              <w:t xml:space="preserve"> and 30% permitted unrestricted URL fetching (Elastic Security Labs, September 2025).</w:t>
            </w:r>
          </w:p>
        </w:tc>
      </w:tr>
    </w:tbl>
    <w:p>
      <w:pPr>
        <w:spacing w:before="120" w:after="0"/>
      </w:pPr>
    </w:p>
    <w:p>
      <w:pPr>
        <w:spacing w:after="160" w:line="300"/>
      </w:pPr>
      <w:r>
        <w:rPr>
          <w:rFonts w:ascii="Arial" w:cs="Arial" w:eastAsia="Arial" w:hAnsi="Arial"/>
          <w:color w:val="333333"/>
          <w:sz w:val="22"/>
          <w:szCs w:val="22"/>
        </w:rPr>
        <w:t xml:space="preserve">The MCPTox benchmark, the first systematic evaluation of tool poisoning in realistic MCP settings, tested against 45 live real-world MCP servers and 353 authentic tools with 1,312 malicious test cases covering 10 attack categories (Wang et al., August 2025). OWASP has classified tool poisoning as MCP03:2025 in their MCP Top 10 (OWASP, 2025).</w:t>
      </w:r>
    </w:p>
    <w:p>
      <w:pPr>
        <w:pStyle w:val="Heading3"/>
        <w:spacing w:before="200" w:after="120"/>
      </w:pPr>
      <w:r>
        <w:rPr>
          <w:rFonts w:ascii="Arial" w:cs="Arial" w:eastAsia="Arial" w:hAnsi="Arial"/>
          <w:b/>
          <w:bCs/>
          <w:color w:val="333333"/>
          <w:sz w:val="22"/>
          <w:szCs w:val="22"/>
        </w:rPr>
        <w:t xml:space="preserve">Attack Mechanisms</w:t>
      </w:r>
    </w:p>
    <w:p>
      <w:pPr>
        <w:pStyle w:val="ListParagraph"/>
        <w:numPr>
          <w:ilvl w:val="0"/>
          <w:numId w:val="2"/>
        </w:numPr>
        <w:spacing w:after="100" w:line="280"/>
      </w:pPr>
      <w:r>
        <w:rPr>
          <w:rFonts w:ascii="Arial" w:cs="Arial" w:eastAsia="Arial" w:hAnsi="Arial"/>
          <w:b/>
          <w:bCs/>
          <w:color w:val="333333"/>
          <w:sz w:val="22"/>
          <w:szCs w:val="22"/>
        </w:rPr>
        <w:t xml:space="preserve">Tool Description Injection: </w:t>
      </w:r>
      <w:r>
        <w:rPr>
          <w:rFonts w:ascii="Arial" w:cs="Arial" w:eastAsia="Arial" w:hAnsi="Arial"/>
          <w:color w:val="333333"/>
          <w:sz w:val="22"/>
          <w:szCs w:val="22"/>
        </w:rPr>
        <w:t xml:space="preserve">Malicious instructions hidden in tool metadata that manipulate the agent during planning. The poisoned tool itself may never be executed—the instructions in its description influence how the agent uses other, legitimate tools (Invariant Labs, 2025).</w:t>
      </w:r>
    </w:p>
    <w:p>
      <w:pPr>
        <w:pStyle w:val="ListParagraph"/>
        <w:numPr>
          <w:ilvl w:val="0"/>
          <w:numId w:val="2"/>
        </w:numPr>
        <w:spacing w:after="100" w:line="280"/>
      </w:pPr>
      <w:r>
        <w:rPr>
          <w:rFonts w:ascii="Arial" w:cs="Arial" w:eastAsia="Arial" w:hAnsi="Arial"/>
          <w:b/>
          <w:bCs/>
          <w:color w:val="333333"/>
          <w:sz w:val="22"/>
          <w:szCs w:val="22"/>
        </w:rPr>
        <w:t xml:space="preserve">Tool Shadowing: </w:t>
      </w:r>
      <w:r>
        <w:rPr>
          <w:rFonts w:ascii="Arial" w:cs="Arial" w:eastAsia="Arial" w:hAnsi="Arial"/>
          <w:color w:val="333333"/>
          <w:sz w:val="22"/>
          <w:szCs w:val="22"/>
        </w:rPr>
        <w:t xml:space="preserve">A malicious MCP server injects tool descriptions that modify the agent’s behavior with respect to a trusted service, leading to data exfiltration through legitimate tool calls (Invariant Labs, 2025).</w:t>
      </w:r>
    </w:p>
    <w:p>
      <w:pPr>
        <w:pStyle w:val="ListParagraph"/>
        <w:numPr>
          <w:ilvl w:val="0"/>
          <w:numId w:val="2"/>
        </w:numPr>
        <w:spacing w:after="100" w:line="280"/>
      </w:pPr>
      <w:r>
        <w:rPr>
          <w:rFonts w:ascii="Arial" w:cs="Arial" w:eastAsia="Arial" w:hAnsi="Arial"/>
          <w:b/>
          <w:bCs/>
          <w:color w:val="333333"/>
          <w:sz w:val="22"/>
          <w:szCs w:val="22"/>
        </w:rPr>
        <w:t xml:space="preserve">Rug-Pull Attacks: </w:t>
      </w:r>
      <w:r>
        <w:rPr>
          <w:rFonts w:ascii="Arial" w:cs="Arial" w:eastAsia="Arial" w:hAnsi="Arial"/>
          <w:color w:val="333333"/>
          <w:sz w:val="22"/>
          <w:szCs w:val="22"/>
        </w:rPr>
        <w:t xml:space="preserve">A server initially provides benign tool descriptions, then modifies them post-trust-establishment to include malicious instructions (Invariant Labs, 2025).</w:t>
      </w:r>
    </w:p>
    <w:p>
      <w:pPr>
        <w:pStyle w:val="ListParagraph"/>
        <w:numPr>
          <w:ilvl w:val="0"/>
          <w:numId w:val="2"/>
        </w:numPr>
        <w:spacing w:after="100" w:line="280"/>
      </w:pPr>
      <w:r>
        <w:rPr>
          <w:rFonts w:ascii="Arial" w:cs="Arial" w:eastAsia="Arial" w:hAnsi="Arial"/>
          <w:b/>
          <w:bCs/>
          <w:color w:val="333333"/>
          <w:sz w:val="22"/>
          <w:szCs w:val="22"/>
        </w:rPr>
        <w:t xml:space="preserve">CVE-2025-6514 (mcp-remote OAuth): </w:t>
      </w:r>
      <w:r>
        <w:rPr>
          <w:rFonts w:ascii="Arial" w:cs="Arial" w:eastAsia="Arial" w:hAnsi="Arial"/>
          <w:color w:val="333333"/>
          <w:sz w:val="22"/>
          <w:szCs w:val="22"/>
        </w:rPr>
        <w:t xml:space="preserve">A vulnerability in the mcp-remote OAuth proxy affected 437,000+ downloads, enabling remote code execution through a single npm package (Docker, August 2025).</w:t>
      </w:r>
    </w:p>
    <w:p>
      <w:pPr>
        <w:pStyle w:val="ListParagraph"/>
        <w:numPr>
          <w:ilvl w:val="0"/>
          <w:numId w:val="2"/>
        </w:numPr>
        <w:spacing w:after="100" w:line="280"/>
      </w:pPr>
      <w:r>
        <w:rPr>
          <w:rFonts w:ascii="Arial" w:cs="Arial" w:eastAsia="Arial" w:hAnsi="Arial"/>
          <w:b/>
          <w:bCs/>
          <w:color w:val="333333"/>
          <w:sz w:val="22"/>
          <w:szCs w:val="22"/>
        </w:rPr>
        <w:t xml:space="preserve">CVE-2025-53773 (GitHub Copilot): </w:t>
      </w:r>
      <w:r>
        <w:rPr>
          <w:rFonts w:ascii="Arial" w:cs="Arial" w:eastAsia="Arial" w:hAnsi="Arial"/>
          <w:color w:val="333333"/>
          <w:sz w:val="22"/>
          <w:szCs w:val="22"/>
        </w:rPr>
        <w:t xml:space="preserve">A remote code execution vulnerability through prompt injection with a CVSS score of 9.6, potentially compromising millions of developer machines (MDPI Review, 2026).</w:t>
      </w:r>
    </w:p>
    <w:p>
      <w:pPr>
        <w:spacing w:before="120" w:after="0"/>
      </w:pPr>
    </w:p>
    <w:p>
      <w:pPr>
        <w:pStyle w:val="Heading2"/>
        <w:spacing w:before="280" w:after="160"/>
      </w:pPr>
      <w:r>
        <w:rPr>
          <w:rFonts w:ascii="Arial" w:cs="Arial" w:eastAsia="Arial" w:hAnsi="Arial"/>
          <w:b/>
          <w:bCs/>
          <w:color w:val="2E75B6"/>
          <w:sz w:val="26"/>
          <w:szCs w:val="26"/>
        </w:rPr>
        <w:t xml:space="preserve">3.3 Memory Poisoning</w:t>
      </w:r>
    </w:p>
    <w:p>
      <w:pPr>
        <w:spacing w:after="160" w:line="300"/>
      </w:pPr>
      <w:r>
        <w:rPr>
          <w:rFonts w:ascii="Arial" w:cs="Arial" w:eastAsia="Arial" w:hAnsi="Arial"/>
          <w:color w:val="333333"/>
          <w:sz w:val="22"/>
          <w:szCs w:val="22"/>
        </w:rPr>
        <w:t xml:space="preserve">Memory poisoning represents the newest and most insidious attack class against agentic AI. Unlike standard prompt injection that ends when a session closes, memory poisoning targets the agent’s persistent memory—its long-term beliefs, stored facts, and learned preferences. The attack and its execution are temporally decoupled: an injection planted today may not activate for weeks or months (Schneider, February 2026).</w:t>
      </w:r>
    </w:p>
    <w:p>
      <w:pPr>
        <w:spacing w:after="160" w:line="300"/>
      </w:pPr>
      <w:r>
        <w:rPr>
          <w:rFonts w:ascii="Arial" w:cs="Arial" w:eastAsia="Arial" w:hAnsi="Arial"/>
          <w:color w:val="333333"/>
          <w:sz w:val="22"/>
          <w:szCs w:val="22"/>
        </w:rPr>
        <w:t xml:space="preserve">OWASP has classified this as </w:t>
      </w:r>
      <w:r>
        <w:rPr>
          <w:rFonts w:ascii="Arial" w:cs="Arial" w:eastAsia="Arial" w:hAnsi="Arial"/>
          <w:b/>
          <w:bCs/>
          <w:color w:val="333333"/>
          <w:sz w:val="22"/>
          <w:szCs w:val="22"/>
        </w:rPr>
        <w:t xml:space="preserve">ASI06 (Memory &amp; Context Poisoning)</w:t>
      </w:r>
      <w:r>
        <w:rPr>
          <w:rFonts w:ascii="Arial" w:cs="Arial" w:eastAsia="Arial" w:hAnsi="Arial"/>
          <w:color w:val="333333"/>
          <w:sz w:val="22"/>
          <w:szCs w:val="22"/>
        </w:rPr>
        <w:t xml:space="preserve"> in the Top 10 for Agentic Applications 2026, assigning it a rating of high persistence and very high detection difficulty (OWASP, 2026).</w:t>
      </w:r>
    </w:p>
    <w:p>
      <w:pPr>
        <w:pStyle w:val="Heading3"/>
        <w:spacing w:before="200" w:after="120"/>
      </w:pPr>
      <w:r>
        <w:rPr>
          <w:rFonts w:ascii="Arial" w:cs="Arial" w:eastAsia="Arial" w:hAnsi="Arial"/>
          <w:b/>
          <w:bCs/>
          <w:color w:val="333333"/>
          <w:sz w:val="22"/>
          <w:szCs w:val="22"/>
        </w:rPr>
        <w:t xml:space="preserve">Research Findings</w:t>
      </w:r>
    </w:p>
    <w:p>
      <w:pPr>
        <w:pStyle w:val="ListParagraph"/>
        <w:numPr>
          <w:ilvl w:val="0"/>
          <w:numId w:val="2"/>
        </w:numPr>
        <w:spacing w:after="100" w:line="280"/>
      </w:pPr>
      <w:r>
        <w:rPr>
          <w:rFonts w:ascii="Arial" w:cs="Arial" w:eastAsia="Arial" w:hAnsi="Arial"/>
          <w:b/>
          <w:bCs/>
          <w:color w:val="333333"/>
          <w:sz w:val="22"/>
          <w:szCs w:val="22"/>
        </w:rPr>
        <w:t xml:space="preserve">MINJA (NeurIPS 2025): </w:t>
      </w:r>
      <w:r>
        <w:rPr>
          <w:rFonts w:ascii="Arial" w:cs="Arial" w:eastAsia="Arial" w:hAnsi="Arial"/>
          <w:color w:val="333333"/>
          <w:sz w:val="22"/>
          <w:szCs w:val="22"/>
        </w:rPr>
        <w:t xml:space="preserve">The Memory INJection Attack demonstrated over 95% injection success rates against production agents through query-only interaction—without any direct access to the memory store itself. The attack constructs intermediate bridging steps that appear reasonable individually but collectively lead toward the attacker’s goal (Dong et al., NeurIPS 2025; Schneider, 2026).</w:t>
      </w:r>
    </w:p>
    <w:p>
      <w:pPr>
        <w:pStyle w:val="ListParagraph"/>
        <w:numPr>
          <w:ilvl w:val="0"/>
          <w:numId w:val="2"/>
        </w:numPr>
        <w:spacing w:after="100" w:line="280"/>
      </w:pPr>
      <w:r>
        <w:rPr>
          <w:rFonts w:ascii="Arial" w:cs="Arial" w:eastAsia="Arial" w:hAnsi="Arial"/>
          <w:b/>
          <w:bCs/>
          <w:color w:val="333333"/>
          <w:sz w:val="22"/>
          <w:szCs w:val="22"/>
        </w:rPr>
        <w:t xml:space="preserve">AgentPoison (NeurIPS 2024): </w:t>
      </w:r>
      <w:r>
        <w:rPr>
          <w:rFonts w:ascii="Arial" w:cs="Arial" w:eastAsia="Arial" w:hAnsi="Arial"/>
          <w:color w:val="333333"/>
          <w:sz w:val="22"/>
          <w:szCs w:val="22"/>
        </w:rPr>
        <w:t xml:space="preserve">Researchers from University of Chicago, UIUC, UW-Madison, and UC Berkeley demonstrated the first backdoor attack framework targeting RAG-based agents, achieving 80%+ attack success rates with less than 0.1% poison rate and minimal impact on benign performance (Substack/fafi25, 2026).</w:t>
      </w:r>
    </w:p>
    <w:p>
      <w:pPr>
        <w:pStyle w:val="ListParagraph"/>
        <w:numPr>
          <w:ilvl w:val="0"/>
          <w:numId w:val="2"/>
        </w:numPr>
        <w:spacing w:after="100" w:line="280"/>
      </w:pPr>
      <w:r>
        <w:rPr>
          <w:rFonts w:ascii="Arial" w:cs="Arial" w:eastAsia="Arial" w:hAnsi="Arial"/>
          <w:b/>
          <w:bCs/>
          <w:color w:val="333333"/>
          <w:sz w:val="22"/>
          <w:szCs w:val="22"/>
        </w:rPr>
        <w:t xml:space="preserve">Microsoft AI Recommendation Poisoning (February 2026): </w:t>
      </w:r>
      <w:r>
        <w:rPr>
          <w:rFonts w:ascii="Arial" w:cs="Arial" w:eastAsia="Arial" w:hAnsi="Arial"/>
          <w:color w:val="333333"/>
          <w:sz w:val="22"/>
          <w:szCs w:val="22"/>
        </w:rPr>
        <w:t xml:space="preserve">Microsoft documented a growing trend where companies embed hidden instructions in “Summarize with AI” buttons that inject persistence commands into AI assistant memory. Researchers identified over 50 unique prompts from 31 companies across 14 industries (Microsoft Security Blog, February 2026). The technique is formally recognized by the MITRE ATLAS knowledge base as AML.T0080.</w:t>
      </w:r>
    </w:p>
    <w:p>
      <w:pPr>
        <w:pStyle w:val="ListParagraph"/>
        <w:numPr>
          <w:ilvl w:val="0"/>
          <w:numId w:val="2"/>
        </w:numPr>
        <w:spacing w:after="100" w:line="280"/>
      </w:pPr>
      <w:r>
        <w:rPr>
          <w:rFonts w:ascii="Arial" w:cs="Arial" w:eastAsia="Arial" w:hAnsi="Arial"/>
          <w:b/>
          <w:bCs/>
          <w:color w:val="333333"/>
          <w:sz w:val="22"/>
          <w:szCs w:val="22"/>
        </w:rPr>
        <w:t xml:space="preserve">ChatGPT Atlas “Tainted Memories” (October 2025): </w:t>
      </w:r>
      <w:r>
        <w:rPr>
          <w:rFonts w:ascii="Arial" w:cs="Arial" w:eastAsia="Arial" w:hAnsi="Arial"/>
          <w:color w:val="333333"/>
          <w:sz w:val="22"/>
          <w:szCs w:val="22"/>
        </w:rPr>
        <w:t xml:space="preserve">LayerX Security demonstrated a CSRF-based attack that injected persistent malicious instructions into a user’s ChatGPT memory, enabling potential remote code execution whenever tainted memories were later invoked (Substack/fafi25, 2026).</w:t>
      </w:r>
    </w:p>
    <w:p>
      <w:pPr>
        <w:pStyle w:val="ListParagraph"/>
        <w:numPr>
          <w:ilvl w:val="0"/>
          <w:numId w:val="2"/>
        </w:numPr>
        <w:spacing w:after="100" w:line="280"/>
      </w:pPr>
      <w:r>
        <w:rPr>
          <w:rFonts w:ascii="Arial" w:cs="Arial" w:eastAsia="Arial" w:hAnsi="Arial"/>
          <w:b/>
          <w:bCs/>
          <w:color w:val="333333"/>
          <w:sz w:val="22"/>
          <w:szCs w:val="22"/>
        </w:rPr>
        <w:t xml:space="preserve">Amazon Bedrock Agent PoC (October 2025): </w:t>
      </w:r>
      <w:r>
        <w:rPr>
          <w:rFonts w:ascii="Arial" w:cs="Arial" w:eastAsia="Arial" w:hAnsi="Arial"/>
          <w:color w:val="333333"/>
          <w:sz w:val="22"/>
          <w:szCs w:val="22"/>
        </w:rPr>
        <w:t xml:space="preserve">Palo Alto Networks Unit 42 demonstrated how indirect prompt injection via a malicious webpage could corrupt an agent’s long-term memory, enabling silent exfiltration of conversation history in future sessions (Unit 42, October 2025).</w:t>
      </w:r>
    </w:p>
    <w:p>
      <w:pPr>
        <w:spacing w:before="120" w:after="0"/>
      </w:pPr>
    </w:p>
    <w:p>
      <w:pPr>
        <w:pStyle w:val="Heading3"/>
        <w:spacing w:before="200" w:after="120"/>
      </w:pPr>
      <w:r>
        <w:rPr>
          <w:rFonts w:ascii="Arial" w:cs="Arial" w:eastAsia="Arial" w:hAnsi="Arial"/>
          <w:b/>
          <w:bCs/>
          <w:color w:val="333333"/>
          <w:sz w:val="22"/>
          <w:szCs w:val="22"/>
        </w:rPr>
        <w:t xml:space="preserve">Why Memory Poisoning Is Different</w:t>
      </w:r>
    </w:p>
    <w:p>
      <w:pPr>
        <w:spacing w:after="160" w:line="300"/>
      </w:pPr>
      <w:r>
        <w:rPr>
          <w:rFonts w:ascii="Arial" w:cs="Arial" w:eastAsia="Arial" w:hAnsi="Arial"/>
          <w:color w:val="333333"/>
          <w:sz w:val="22"/>
          <w:szCs w:val="22"/>
        </w:rPr>
        <w:t xml:space="preserve">Memory poisoning fundamentally differs from other injection attacks because it creates </w:t>
      </w:r>
      <w:r>
        <w:rPr>
          <w:rFonts w:ascii="Arial" w:cs="Arial" w:eastAsia="Arial" w:hAnsi="Arial"/>
          <w:b/>
          <w:bCs/>
          <w:color w:val="333333"/>
          <w:sz w:val="22"/>
          <w:szCs w:val="22"/>
        </w:rPr>
        <w:t xml:space="preserve">persistent compromise</w:t>
      </w:r>
      <w:r>
        <w:rPr>
          <w:rFonts w:ascii="Arial" w:cs="Arial" w:eastAsia="Arial" w:hAnsi="Arial"/>
          <w:color w:val="333333"/>
          <w:sz w:val="22"/>
          <w:szCs w:val="22"/>
        </w:rPr>
        <w:t xml:space="preserve">. The agent trusts its own memories implicitly—there is no external data source to validate against. The memories </w:t>
      </w:r>
      <w:r>
        <w:rPr>
          <w:rFonts w:ascii="Arial" w:cs="Arial" w:eastAsia="Arial" w:hAnsi="Arial"/>
          <w:i/>
          <w:iCs/>
          <w:color w:val="666666"/>
          <w:sz w:val="22"/>
          <w:szCs w:val="22"/>
        </w:rPr>
        <w:t xml:space="preserve">are</w:t>
      </w:r>
      <w:r>
        <w:rPr>
          <w:rFonts w:ascii="Arial" w:cs="Arial" w:eastAsia="Arial" w:hAnsi="Arial"/>
          <w:color w:val="333333"/>
          <w:sz w:val="22"/>
          <w:szCs w:val="22"/>
        </w:rPr>
        <w:t xml:space="preserve"> the agent’s understanding of reality. As the MemoryGraft research (December 2025) articulated: this is “a novel indirect injection attack that compromises agent behavior not through immediate jailbreaks, but by implanting malicious successful experiences into the agent’s long-term memory” (Medium/hannecke, January 2026).</w:t>
      </w:r>
    </w:p>
    <w:p>
      <w:pPr>
        <w:spacing w:after="160" w:line="300"/>
      </w:pPr>
      <w:r>
        <w:rPr>
          <w:rFonts w:ascii="Arial" w:cs="Arial" w:eastAsia="Arial" w:hAnsi="Arial"/>
          <w:color w:val="333333"/>
          <w:sz w:val="22"/>
          <w:szCs w:val="22"/>
        </w:rPr>
        <w:t xml:space="preserve">In the Lakera AI memory injection research (November 2026), researchers showed that a poisoned agent not only acted on false beliefs but </w:t>
      </w:r>
      <w:r>
        <w:rPr>
          <w:rFonts w:ascii="Arial" w:cs="Arial" w:eastAsia="Arial" w:hAnsi="Arial"/>
          <w:b/>
          <w:bCs/>
          <w:color w:val="333333"/>
          <w:sz w:val="22"/>
          <w:szCs w:val="22"/>
        </w:rPr>
        <w:t xml:space="preserve">defended those false beliefs as correct when questioned by humans</w:t>
      </w:r>
      <w:r>
        <w:rPr>
          <w:rFonts w:ascii="Arial" w:cs="Arial" w:eastAsia="Arial" w:hAnsi="Arial"/>
          <w:color w:val="333333"/>
          <w:sz w:val="22"/>
          <w:szCs w:val="22"/>
        </w:rPr>
        <w:t xml:space="preserve"> (Stellar Cyber, 2026). This creates a “sleeper agent” scenario where compromise is dormant until triggered.</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4. Scale and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deployments with prompt injection vulnerability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OWASP 2025 / Obsidian Security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Real-world AI incidents caused by prompts alone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Adversa AI 2025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Attack success rate with adaptive strategies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&gt;85%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MDPI Comprehensive Review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Tool poisoning success rate (auto-approval)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84.2%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MintMCP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MCP servers with command injection flaws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Elastic Security Labs 2025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MINJA memory injection success rate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&gt;95%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Dong et al., NeurIPS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AgentPoison success rate at 0.1% poison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NeurIPS 2024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coding editor attack success (malicious commands)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AIShellJack / arXiv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Companies identified using memory poisoning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 (14 industries)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Microsoft Security Blog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GitHub Copilot CVE-2025-53773 CVSS score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MDPI Review 2026</w:t>
            </w:r>
          </w:p>
        </w:tc>
      </w:tr>
    </w:tbl>
    <w:p>
      <w:pPr>
        <w:spacing w:before="120" w:after="0"/>
      </w:pPr>
    </w:p>
    <w:p>
      <w:pPr>
        <w:spacing w:after="160" w:line="300"/>
      </w:pPr>
      <w:r>
        <w:rPr>
          <w:rFonts w:ascii="Arial" w:cs="Arial" w:eastAsia="Arial" w:hAnsi="Arial"/>
          <w:color w:val="333333"/>
          <w:sz w:val="22"/>
          <w:szCs w:val="22"/>
        </w:rPr>
        <w:t xml:space="preserve">A comprehensive review synthesizing 78 studies from 2021–2026 on prompt injection in agentic coding assistants found that “attack success rates against state-of-the-art defenses exceed 85% when adaptive attack strategies are employed” (arXiv, January 2026). A separate ScienceDirect survey cataloged over thirty distinct attack techniques across input manipulation, model compromise, system/privacy attacks, and protocol vulnerabilities (ScienceDirect, December 2025).</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5. Current State of Defenses</w:t>
      </w:r>
    </w:p>
    <w:p>
      <w:pPr>
        <w:pStyle w:val="Heading2"/>
        <w:spacing w:before="280" w:after="160"/>
      </w:pPr>
      <w:r>
        <w:rPr>
          <w:rFonts w:ascii="Arial" w:cs="Arial" w:eastAsia="Arial" w:hAnsi="Arial"/>
          <w:b/>
          <w:bCs/>
          <w:color w:val="2E75B6"/>
          <w:sz w:val="26"/>
          <w:szCs w:val="26"/>
        </w:rPr>
        <w:t xml:space="preserve">5.1 Why Model-Level Defenses Are Insufficient</w:t>
      </w:r>
    </w:p>
    <w:p>
      <w:pPr>
        <w:spacing w:after="160" w:line="300"/>
      </w:pPr>
      <w:r>
        <w:rPr>
          <w:rFonts w:ascii="Arial" w:cs="Arial" w:eastAsia="Arial" w:hAnsi="Arial"/>
          <w:color w:val="333333"/>
          <w:sz w:val="22"/>
          <w:szCs w:val="22"/>
        </w:rPr>
        <w:t xml:space="preserve">The prevailing approach to AI security—training or prompting models to resist manipulation—has proven fundamentally inadequate. As Simon Willison (who coined the term “prompt injection”) noted in his analysis of CaMeL: “AI techniques use probabilities: you can train a model on a collection of previous prompt injection examples and get to a 99% score in detecting new ones… and that’s useless, because in application security 99% is a failing grade” (Willison, April 2025).</w:t>
      </w:r>
    </w:p>
    <w:p>
      <w:pPr>
        <w:spacing w:after="160" w:line="300"/>
      </w:pPr>
      <w:r>
        <w:rPr>
          <w:rFonts w:ascii="Arial" w:cs="Arial" w:eastAsia="Arial" w:hAnsi="Arial"/>
          <w:color w:val="333333"/>
          <w:sz w:val="22"/>
          <w:szCs w:val="22"/>
        </w:rPr>
        <w:t xml:space="preserve">Joint research from OpenAI, Anthropic, and Google DeepMind (“The Attacker Moves Second,” arXiv 2510.09023, 2025) tested 12 published defenses and bypassed all of them with over 90% success rate for most using adaptive attack strategies (Cyberdesserts, 2025). This confirms that security cannot rely on the model policing itself.</w:t>
      </w:r>
    </w:p>
    <w:p>
      <w:pPr>
        <w:pStyle w:val="Heading2"/>
        <w:spacing w:before="280" w:after="160"/>
      </w:pPr>
      <w:r>
        <w:rPr>
          <w:rFonts w:ascii="Arial" w:cs="Arial" w:eastAsia="Arial" w:hAnsi="Arial"/>
          <w:b/>
          <w:bCs/>
          <w:color w:val="2E75B6"/>
          <w:sz w:val="26"/>
          <w:szCs w:val="26"/>
        </w:rPr>
        <w:t xml:space="preserve">5.2 Memory Systems Lack Security</w:t>
      </w:r>
    </w:p>
    <w:p>
      <w:pPr>
        <w:spacing w:after="160" w:line="300"/>
      </w:pPr>
      <w:r>
        <w:rPr>
          <w:rFonts w:ascii="Arial" w:cs="Arial" w:eastAsia="Arial" w:hAnsi="Arial"/>
          <w:color w:val="333333"/>
          <w:sz w:val="22"/>
          <w:szCs w:val="22"/>
        </w:rPr>
        <w:t xml:space="preserve">The SuperLocalMemory paper (arXiv, February 2026) directly evaluated the major open-source and commercial memory systems—Mem0, Zep, Letta (MemGPT), LangMem, A-MEM, and Cognee—and concluded that </w:t>
      </w:r>
      <w:r>
        <w:rPr>
          <w:rFonts w:ascii="Arial" w:cs="Arial" w:eastAsia="Arial" w:hAnsi="Arial"/>
          <w:b/>
          <w:bCs/>
          <w:color w:val="333333"/>
          <w:sz w:val="22"/>
          <w:szCs w:val="22"/>
        </w:rPr>
        <w:t xml:space="preserve">none provide trust scoring or memory poisoning defense mechanisms</w:t>
      </w:r>
      <w:r>
        <w:rPr>
          <w:rFonts w:ascii="Arial" w:cs="Arial" w:eastAsia="Arial" w:hAnsi="Arial"/>
          <w:color w:val="333333"/>
          <w:sz w:val="22"/>
          <w:szCs w:val="22"/>
        </w:rPr>
        <w:t xml:space="preserve"> (SuperLocalMemory, 2026). LangGraph provides the storage primitives (namespace/key stores with TTL support) but the security layer is entirely the developer’s responsibility.</w:t>
      </w:r>
    </w:p>
    <w:p>
      <w:pPr>
        <w:pStyle w:val="Heading2"/>
        <w:spacing w:before="280" w:after="160"/>
      </w:pPr>
      <w:r>
        <w:rPr>
          <w:rFonts w:ascii="Arial" w:cs="Arial" w:eastAsia="Arial" w:hAnsi="Arial"/>
          <w:b/>
          <w:bCs/>
          <w:color w:val="2E75B6"/>
          <w:sz w:val="26"/>
          <w:szCs w:val="26"/>
        </w:rPr>
        <w:t xml:space="preserve">5.3 CaMeL: The Architectural Approach</w:t>
      </w:r>
    </w:p>
    <w:p>
      <w:pPr>
        <w:spacing w:after="160" w:line="300"/>
      </w:pPr>
      <w:r>
        <w:rPr>
          <w:rFonts w:ascii="Arial" w:cs="Arial" w:eastAsia="Arial" w:hAnsi="Arial"/>
          <w:color w:val="333333"/>
          <w:sz w:val="22"/>
          <w:szCs w:val="22"/>
        </w:rPr>
        <w:t xml:space="preserve">Google DeepMind’s CaMeL (CApabilities for MachinE Learning, March 2025) represents the most significant conceptual advance in this space. Rather than relying on AI to detect attacks, CaMeL applies traditional software security principles—capability-based access control, information flow control, and control flow integrity—to create boundaries that remain effective even if an AI component is compromised (Debenedetti et al., arXiv 2503.18813, 2025).</w:t>
      </w:r>
    </w:p>
    <w:p>
      <w:pPr>
        <w:spacing w:after="160" w:line="300"/>
      </w:pPr>
      <w:r>
        <w:rPr>
          <w:rFonts w:ascii="Arial" w:cs="Arial" w:eastAsia="Arial" w:hAnsi="Arial"/>
          <w:color w:val="333333"/>
          <w:sz w:val="22"/>
          <w:szCs w:val="22"/>
        </w:rPr>
        <w:t xml:space="preserve">CaMeL uses a dual-LLM architecture: a Privileged LLM that only sees trusted user input and generates execution plans as restricted Python, and a Quarantined LLM that processes untrusted content but cannot call tools. A custom interpreter tracks provenance (“capabilities”) on every variable and enforces security policies at every tool call boundary. It solved 77% of tasks on the AgentDojo security benchmark with provable security guarantees (Debenedetti et al., 2025).</w:t>
      </w:r>
    </w:p>
    <w:p>
      <w:pPr>
        <w:spacing w:after="160" w:line="300"/>
      </w:pPr>
      <w:r>
        <w:rPr>
          <w:rFonts w:ascii="Arial" w:cs="Arial" w:eastAsia="Arial" w:hAnsi="Arial"/>
          <w:color w:val="333333"/>
          <w:sz w:val="22"/>
          <w:szCs w:val="22"/>
        </w:rPr>
        <w:t xml:space="preserve">However, CaMeL’s full implementation carries significant overhead: approximately 2.82x increase in input tokens and 2.73x in output tokens (MarkTechPost, March 2025), plus the complexity of maintaining a custom Python interpreter and dual model infrastructure. For resource-constrained deployments, the </w:t>
      </w:r>
      <w:r>
        <w:rPr>
          <w:rFonts w:ascii="Arial" w:cs="Arial" w:eastAsia="Arial" w:hAnsi="Arial"/>
          <w:i/>
          <w:iCs/>
          <w:color w:val="666666"/>
          <w:sz w:val="22"/>
          <w:szCs w:val="22"/>
        </w:rPr>
        <w:t xml:space="preserve">principles</w:t>
      </w:r>
      <w:r>
        <w:rPr>
          <w:rFonts w:ascii="Arial" w:cs="Arial" w:eastAsia="Arial" w:hAnsi="Arial"/>
          <w:color w:val="333333"/>
          <w:sz w:val="22"/>
          <w:szCs w:val="22"/>
        </w:rPr>
        <w:t xml:space="preserve"> of CaMeL—provenance tracking, trust-based policy enforcement at tool boundaries, and treating the LLM as an untrusted component—can be applied pragmatically without the full architecture.</w:t>
      </w:r>
    </w:p>
    <w:p>
      <w:pPr>
        <w:pStyle w:val="Heading2"/>
        <w:spacing w:before="280" w:after="160"/>
      </w:pPr>
      <w:r>
        <w:rPr>
          <w:rFonts w:ascii="Arial" w:cs="Arial" w:eastAsia="Arial" w:hAnsi="Arial"/>
          <w:b/>
          <w:bCs/>
          <w:color w:val="2E75B6"/>
          <w:sz w:val="26"/>
          <w:szCs w:val="26"/>
        </w:rPr>
        <w:t xml:space="preserve">5.4 The Minimize &amp; Sanitize Pattern</w:t>
      </w:r>
    </w:p>
    <w:p>
      <w:pPr>
        <w:spacing w:after="160" w:line="300"/>
      </w:pPr>
      <w:r>
        <w:rPr>
          <w:rFonts w:ascii="Arial" w:cs="Arial" w:eastAsia="Arial" w:hAnsi="Arial"/>
          <w:color w:val="333333"/>
          <w:sz w:val="22"/>
          <w:szCs w:val="22"/>
        </w:rPr>
        <w:t xml:space="preserve">A complementary approach from recent research (Bhagwatkar et al., arXiv 2510.05244, October 2025) proposes two lightweight LLM “firewalls” at the agent-tool boundary: a Tool-Input Firewall (Minimizer) that strips unnecessary data from tool call arguments, and a Tool-Output Firewall (Sanitizer) that filters tool responses before they are fed back into the agent, removing suspicious instructions and potentially malicious content. Their experiments demonstrated approximately 0% attack success with minimal utility degradation, requiring no LLM retraining or proprietary guardrails.</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6. Defense Architecture: Three-Layer Security Model</w:t>
      </w:r>
    </w:p>
    <w:p>
      <w:pPr>
        <w:spacing w:after="160" w:line="300"/>
      </w:pPr>
      <w:r>
        <w:rPr>
          <w:rFonts w:ascii="Arial" w:cs="Arial" w:eastAsia="Arial" w:hAnsi="Arial"/>
          <w:color w:val="333333"/>
          <w:sz w:val="22"/>
          <w:szCs w:val="22"/>
        </w:rPr>
        <w:t xml:space="preserve">Based on the research surveyed above, we propose a three-layer defense architecture that is achievable for on-premise deployment on Apple Silicon hardware. Each layer operates independently, catches different attack types at different points in the message pipeline, and can be implemented incrementally. The architecture follows the principle of defense-in-depth: no single layer needs to be perfect, because failures at one layer are caught by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Design Principle</w:t>
            </w:r>
          </w:p>
          <w:p>
            <w:pPr>
              <w:spacing w:after="0" w:line="280"/>
            </w:pPr>
            <w:r>
              <w:rPr>
                <w:rFonts w:ascii="Arial" w:cs="Arial" w:eastAsia="Arial" w:hAnsi="Arial"/>
                <w:color w:val="333333"/>
                <w:sz w:val="22"/>
                <w:szCs w:val="22"/>
              </w:rPr>
              <w:t xml:space="preserve">Treat the AI agent as an untrusted component. Security controls live in the platform core layer, external to the agent. The agent never directly accesses tools, memory stores, or external services—all interactions pass through policy-enforced boundaries.</w:t>
            </w:r>
          </w:p>
        </w:tc>
      </w:tr>
    </w:tbl>
    <w:p>
      <w:pPr>
        <w:spacing w:before="120" w:after="0"/>
      </w:pPr>
    </w:p>
    <w:p>
      <w:pPr>
        <w:pStyle w:val="Heading2"/>
        <w:spacing w:before="280" w:after="160"/>
      </w:pPr>
      <w:r>
        <w:rPr>
          <w:rFonts w:ascii="Arial" w:cs="Arial" w:eastAsia="Arial" w:hAnsi="Arial"/>
          <w:b/>
          <w:bCs/>
          <w:color w:val="2E75B6"/>
          <w:sz w:val="26"/>
          <w:szCs w:val="26"/>
        </w:rPr>
        <w:t xml:space="preserve">6.1 Layer 1: Input Scanning (Front Door)</w:t>
      </w:r>
    </w:p>
    <w:p>
      <w:pPr>
        <w:pStyle w:val="Heading3"/>
        <w:spacing w:before="200" w:after="120"/>
      </w:pPr>
      <w:r>
        <w:rPr>
          <w:rFonts w:ascii="Arial" w:cs="Arial" w:eastAsia="Arial" w:hAnsi="Arial"/>
          <w:b/>
          <w:bCs/>
          <w:color w:val="333333"/>
          <w:sz w:val="22"/>
          <w:szCs w:val="22"/>
        </w:rPr>
        <w:t xml:space="preserve">Purpose</w:t>
      </w:r>
    </w:p>
    <w:p>
      <w:pPr>
        <w:spacing w:after="160" w:line="300"/>
      </w:pPr>
      <w:r>
        <w:rPr>
          <w:rFonts w:ascii="Arial" w:cs="Arial" w:eastAsia="Arial" w:hAnsi="Arial"/>
          <w:color w:val="333333"/>
          <w:sz w:val="22"/>
          <w:szCs w:val="22"/>
        </w:rPr>
        <w:t xml:space="preserve">Detect and block known and novel prompt injection patterns before content reaches the agent. This layer operates at the message ingestion boundary—every inbound message from any channel (iMessage, WhatsApp, email) passes through it.</w:t>
      </w:r>
    </w:p>
    <w:p>
      <w:pPr>
        <w:pStyle w:val="Heading3"/>
        <w:spacing w:before="200" w:after="120"/>
      </w:pPr>
      <w:r>
        <w:rPr>
          <w:rFonts w:ascii="Arial" w:cs="Arial" w:eastAsia="Arial" w:hAnsi="Arial"/>
          <w:b/>
          <w:bCs/>
          <w:color w:val="333333"/>
          <w:sz w:val="22"/>
          <w:szCs w:val="22"/>
        </w:rPr>
        <w:t xml:space="preserve">Implementation</w:t>
      </w:r>
    </w:p>
    <w:p>
      <w:pPr>
        <w:spacing w:after="160" w:line="300"/>
      </w:pPr>
      <w:r>
        <w:rPr>
          <w:rFonts w:ascii="Arial" w:cs="Arial" w:eastAsia="Arial" w:hAnsi="Arial"/>
          <w:color w:val="333333"/>
          <w:sz w:val="22"/>
          <w:szCs w:val="22"/>
        </w:rPr>
        <w:t xml:space="preserve">A two-stage scanning pipeline combining deterministic pattern matching with ML-based classification:</w:t>
      </w:r>
    </w:p>
    <w:p>
      <w:pPr>
        <w:pStyle w:val="ListParagraph"/>
        <w:numPr>
          <w:ilvl w:val="0"/>
          <w:numId w:val="3"/>
        </w:numPr>
        <w:spacing w:after="100" w:line="280"/>
      </w:pPr>
      <w:r>
        <w:rPr>
          <w:rFonts w:ascii="Arial" w:cs="Arial" w:eastAsia="Arial" w:hAnsi="Arial"/>
          <w:b/>
          <w:bCs/>
          <w:color w:val="333333"/>
          <w:sz w:val="22"/>
          <w:szCs w:val="22"/>
        </w:rPr>
        <w:t xml:space="preserve">Stage 1 — Regex Pattern Scanning (0ms latency): </w:t>
      </w:r>
      <w:r>
        <w:rPr>
          <w:rFonts w:ascii="Arial" w:cs="Arial" w:eastAsia="Arial" w:hAnsi="Arial"/>
          <w:color w:val="333333"/>
          <w:sz w:val="22"/>
          <w:szCs w:val="22"/>
        </w:rPr>
        <w:t xml:space="preserve">Deterministic pattern matching against known injection signatures. Catches obvious attacks (“ignore all previous instructions,” “you are now,” system prompt override patterns). Zero computational cost. If a match is found, the message is blocked or flagged immediately without proceeding to Stage 2.</w:t>
      </w:r>
    </w:p>
    <w:p>
      <w:pPr>
        <w:pStyle w:val="ListParagraph"/>
        <w:numPr>
          <w:ilvl w:val="0"/>
          <w:numId w:val="3"/>
        </w:numPr>
        <w:spacing w:after="100" w:line="280"/>
      </w:pPr>
      <w:r>
        <w:rPr>
          <w:rFonts w:ascii="Arial" w:cs="Arial" w:eastAsia="Arial" w:hAnsi="Arial"/>
          <w:b/>
          <w:bCs/>
          <w:color w:val="333333"/>
          <w:sz w:val="22"/>
          <w:szCs w:val="22"/>
        </w:rPr>
        <w:t xml:space="preserve">Stage 2 — ML Classifier Scanning (20–50ms latency): </w:t>
      </w:r>
      <w:r>
        <w:rPr>
          <w:rFonts w:ascii="Arial" w:cs="Arial" w:eastAsia="Arial" w:hAnsi="Arial"/>
          <w:color w:val="333333"/>
          <w:sz w:val="22"/>
          <w:szCs w:val="22"/>
        </w:rPr>
        <w:t xml:space="preserve">LLM Guard’s PromptInjection scanner using a fine-tuned DeBERTa-v3-base model (86M parameters). Runs locally via ONNX runtime. Catches semantically novel injection attempts that don’t match known patterns. Additional scanners for invisible text detection (hidden Unicode characters, zero-width spaces) run at near-zero cost.</w:t>
      </w:r>
    </w:p>
    <w:p>
      <w:pPr>
        <w:pStyle w:val="Heading3"/>
        <w:spacing w:before="200" w:after="120"/>
      </w:pPr>
      <w:r>
        <w:rPr>
          <w:rFonts w:ascii="Arial" w:cs="Arial" w:eastAsia="Arial" w:hAnsi="Arial"/>
          <w:b/>
          <w:bCs/>
          <w:color w:val="333333"/>
          <w:sz w:val="22"/>
          <w:szCs w:val="22"/>
        </w:rPr>
        <w:t xml:space="preserve">Deployment Model</w:t>
      </w:r>
    </w:p>
    <w:p>
      <w:pPr>
        <w:spacing w:after="160" w:line="300"/>
      </w:pPr>
      <w:r>
        <w:rPr>
          <w:rFonts w:ascii="Arial" w:cs="Arial" w:eastAsia="Arial" w:hAnsi="Arial"/>
          <w:color w:val="333333"/>
          <w:sz w:val="22"/>
          <w:szCs w:val="22"/>
        </w:rPr>
        <w:t xml:space="preserve">The ML classifier runs as a sidecar service on the Mac Mini. Model memory footprint is approximately 350–400MB. First inference after cold start takes 1–2 seconds (model loading); subsequent scans run in tens of milliseconds. The sidecar exposes a localhost HTTP endpoint, keeping the ML dependency out of the main message bus process. LLM Guard is open source (Protect AI), self-hosted, modular, and supports ONNX acceleration on Apple Silicon (LLM Guard, 2025).</w:t>
      </w:r>
    </w:p>
    <w:p>
      <w:pPr>
        <w:pStyle w:val="Heading3"/>
        <w:spacing w:before="200" w:after="120"/>
      </w:pPr>
      <w:r>
        <w:rPr>
          <w:rFonts w:ascii="Arial" w:cs="Arial" w:eastAsia="Arial" w:hAnsi="Arial"/>
          <w:b/>
          <w:bCs/>
          <w:color w:val="333333"/>
          <w:sz w:val="22"/>
          <w:szCs w:val="22"/>
        </w:rPr>
        <w:t xml:space="preserve">Performance Characteristics</w:t>
      </w:r>
    </w:p>
    <w:p>
      <w:pPr>
        <w:spacing w:after="160" w:line="300"/>
      </w:pPr>
      <w:r>
        <w:rPr>
          <w:rFonts w:ascii="Arial" w:cs="Arial" w:eastAsia="Arial" w:hAnsi="Arial"/>
          <w:color w:val="333333"/>
          <w:sz w:val="22"/>
          <w:szCs w:val="22"/>
        </w:rPr>
        <w:t xml:space="preserve">Classifier-based guardrails achieve sub-100ms latency, often just tens of milliseconds per request. Rule-based keyword filters operate near-instantly. By contrast, LLM-powered guardrails (using GPT-4 or similar as a moderator) incur 5–10x higher latency (BudEcosystem, October 2025). The DeBERTa classifier approach provides a strong accuracy/latency tradeoff suitable for real-time message bus integration.</w:t>
      </w:r>
    </w:p>
    <w:p>
      <w:pPr>
        <w:spacing w:before="120" w:after="0"/>
      </w:pPr>
    </w:p>
    <w:p>
      <w:pPr>
        <w:pStyle w:val="Heading2"/>
        <w:spacing w:before="280" w:after="160"/>
      </w:pPr>
      <w:r>
        <w:rPr>
          <w:rFonts w:ascii="Arial" w:cs="Arial" w:eastAsia="Arial" w:hAnsi="Arial"/>
          <w:b/>
          <w:bCs/>
          <w:color w:val="2E75B6"/>
          <w:sz w:val="26"/>
          <w:szCs w:val="26"/>
        </w:rPr>
        <w:t xml:space="preserve">6.2 Layer 2: Minimize &amp; Sanitize (Tool Boundary)</w:t>
      </w:r>
    </w:p>
    <w:p>
      <w:pPr>
        <w:pStyle w:val="Heading3"/>
        <w:spacing w:before="200" w:after="120"/>
      </w:pPr>
      <w:r>
        <w:rPr>
          <w:rFonts w:ascii="Arial" w:cs="Arial" w:eastAsia="Arial" w:hAnsi="Arial"/>
          <w:b/>
          <w:bCs/>
          <w:color w:val="333333"/>
          <w:sz w:val="22"/>
          <w:szCs w:val="22"/>
        </w:rPr>
        <w:t xml:space="preserve">Purpose</w:t>
      </w:r>
    </w:p>
    <w:p>
      <w:pPr>
        <w:spacing w:after="160" w:line="300"/>
      </w:pPr>
      <w:r>
        <w:rPr>
          <w:rFonts w:ascii="Arial" w:cs="Arial" w:eastAsia="Arial" w:hAnsi="Arial"/>
          <w:color w:val="333333"/>
          <w:sz w:val="22"/>
          <w:szCs w:val="22"/>
        </w:rPr>
        <w:t xml:space="preserve">Enforce security policies at the boundary between the agent and external tools/services. This layer implements the core insight from CaMeL—that untrusted data should never be able to influence tool execution without policy checks—in a lightweight form that does not require a custom interpreter or dual-LLM architecture.</w:t>
      </w:r>
    </w:p>
    <w:p>
      <w:pPr>
        <w:pStyle w:val="Heading3"/>
        <w:spacing w:before="200" w:after="120"/>
      </w:pPr>
      <w:r>
        <w:rPr>
          <w:rFonts w:ascii="Arial" w:cs="Arial" w:eastAsia="Arial" w:hAnsi="Arial"/>
          <w:b/>
          <w:bCs/>
          <w:color w:val="333333"/>
          <w:sz w:val="22"/>
          <w:szCs w:val="22"/>
        </w:rPr>
        <w:t xml:space="preserve">Components</w:t>
      </w:r>
    </w:p>
    <w:p>
      <w:pPr>
        <w:spacing w:after="160" w:line="300"/>
      </w:pPr>
      <w:r>
        <w:rPr>
          <w:rFonts w:ascii="Arial" w:cs="Arial" w:eastAsia="Arial" w:hAnsi="Arial"/>
          <w:b/>
          <w:bCs/>
          <w:color w:val="333333"/>
          <w:sz w:val="22"/>
          <w:szCs w:val="22"/>
        </w:rPr>
        <w:t xml:space="preserve">Tool-Input Minimizer</w:t>
      </w:r>
    </w:p>
    <w:p>
      <w:pPr>
        <w:spacing w:after="160" w:line="300"/>
      </w:pPr>
      <w:r>
        <w:rPr>
          <w:rFonts w:ascii="Arial" w:cs="Arial" w:eastAsia="Arial" w:hAnsi="Arial"/>
          <w:color w:val="333333"/>
          <w:sz w:val="22"/>
          <w:szCs w:val="22"/>
        </w:rPr>
        <w:t xml:space="preserve">Before any tool call executes, the Minimizer validates that the arguments are justified by the conversation context and comply with operation-specific policies. For example: if the agent wants to send a reply to a customer, the Minimizer verifies the recipient matches the originating customer’s known contact information, not an arbitrary address extracted from message content. If the agent wants to create a financial entry, the Minimizer verifies that account identifiers and amounts trace back to verified data sources.</w:t>
      </w:r>
    </w:p>
    <w:p>
      <w:pPr>
        <w:spacing w:after="160" w:line="300"/>
      </w:pPr>
      <w:r>
        <w:rPr>
          <w:rFonts w:ascii="Arial" w:cs="Arial" w:eastAsia="Arial" w:hAnsi="Arial"/>
          <w:b/>
          <w:bCs/>
          <w:color w:val="333333"/>
          <w:sz w:val="22"/>
          <w:szCs w:val="22"/>
        </w:rPr>
        <w:t xml:space="preserve">Tool-Output Sanitizer</w:t>
      </w:r>
    </w:p>
    <w:p>
      <w:pPr>
        <w:spacing w:after="160" w:line="300"/>
      </w:pPr>
      <w:r>
        <w:rPr>
          <w:rFonts w:ascii="Arial" w:cs="Arial" w:eastAsia="Arial" w:hAnsi="Arial"/>
          <w:color w:val="333333"/>
          <w:sz w:val="22"/>
          <w:szCs w:val="22"/>
        </w:rPr>
        <w:t xml:space="preserve">After a tool returns data, the Sanitizer scans the response for injected instructions before the agent processes it. This reuses the same PromptInjection scanner from Layer 1 (LLM Guard’s DeBERTa classifier) applied to tool output rather than user input. Tool responses containing instruction-like patterns are either scrubbed or flagged.</w:t>
      </w:r>
    </w:p>
    <w:p>
      <w:pPr>
        <w:pStyle w:val="Heading3"/>
        <w:spacing w:before="200" w:after="120"/>
      </w:pPr>
      <w:r>
        <w:rPr>
          <w:rFonts w:ascii="Arial" w:cs="Arial" w:eastAsia="Arial" w:hAnsi="Arial"/>
          <w:b/>
          <w:bCs/>
          <w:color w:val="333333"/>
          <w:sz w:val="22"/>
          <w:szCs w:val="22"/>
        </w:rPr>
        <w:t xml:space="preserve">Operation Sensitivity Classification</w:t>
      </w:r>
    </w:p>
    <w:p>
      <w:pPr>
        <w:spacing w:after="160" w:line="300"/>
      </w:pPr>
      <w:r>
        <w:rPr>
          <w:rFonts w:ascii="Arial" w:cs="Arial" w:eastAsia="Arial" w:hAnsi="Arial"/>
          <w:color w:val="333333"/>
          <w:sz w:val="22"/>
          <w:szCs w:val="22"/>
        </w:rPr>
        <w:t xml:space="preserve">Tool calls are classified by sensitivity level, and different policy strictness applies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 Category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Policy Requirements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(QuickBooks, 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approval required; only high-trust data permitted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Outbound messaging (send on behalf)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Recipient validation against known contacts; content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Verified customer context required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Information retrieval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 sanitization; broader data access permitted</w:t>
            </w:r>
          </w:p>
        </w:tc>
      </w:tr>
    </w:tbl>
    <w:p>
      <w:pPr>
        <w:spacing w:before="120" w:after="0"/>
      </w:pPr>
    </w:p>
    <w:p>
      <w:pPr>
        <w:pStyle w:val="Heading2"/>
        <w:spacing w:before="280" w:after="160"/>
      </w:pPr>
      <w:r>
        <w:rPr>
          <w:rFonts w:ascii="Arial" w:cs="Arial" w:eastAsia="Arial" w:hAnsi="Arial"/>
          <w:b/>
          <w:bCs/>
          <w:color w:val="2E75B6"/>
          <w:sz w:val="26"/>
          <w:szCs w:val="26"/>
        </w:rPr>
        <w:t xml:space="preserve">6.3 Layer 3: Trust-Scored Memory with Decay</w:t>
      </w:r>
    </w:p>
    <w:p>
      <w:pPr>
        <w:pStyle w:val="Heading3"/>
        <w:spacing w:before="200" w:after="120"/>
      </w:pPr>
      <w:r>
        <w:rPr>
          <w:rFonts w:ascii="Arial" w:cs="Arial" w:eastAsia="Arial" w:hAnsi="Arial"/>
          <w:b/>
          <w:bCs/>
          <w:color w:val="333333"/>
          <w:sz w:val="22"/>
          <w:szCs w:val="22"/>
        </w:rPr>
        <w:t xml:space="preserve">Purpose</w:t>
      </w:r>
    </w:p>
    <w:p>
      <w:pPr>
        <w:spacing w:after="160" w:line="300"/>
      </w:pPr>
      <w:r>
        <w:rPr>
          <w:rFonts w:ascii="Arial" w:cs="Arial" w:eastAsia="Arial" w:hAnsi="Arial"/>
          <w:color w:val="333333"/>
          <w:sz w:val="22"/>
          <w:szCs w:val="22"/>
        </w:rPr>
        <w:t xml:space="preserve">Prevent poisoned data from persisting in the agent’s long-term memory and ensure that stored facts carry provenance metadata that gates their influence on agent behavior. This layer directly addresses the memory poisoning threat class (OWASP ASI06).</w:t>
      </w:r>
    </w:p>
    <w:p>
      <w:pPr>
        <w:pStyle w:val="Heading3"/>
        <w:spacing w:before="200" w:after="120"/>
      </w:pPr>
      <w:r>
        <w:rPr>
          <w:rFonts w:ascii="Arial" w:cs="Arial" w:eastAsia="Arial" w:hAnsi="Arial"/>
          <w:b/>
          <w:bCs/>
          <w:color w:val="333333"/>
          <w:sz w:val="22"/>
          <w:szCs w:val="22"/>
        </w:rPr>
        <w:t xml:space="preserve">Trust Scoring Model</w:t>
      </w:r>
    </w:p>
    <w:p>
      <w:pPr>
        <w:spacing w:after="160" w:line="300"/>
      </w:pPr>
      <w:r>
        <w:rPr>
          <w:rFonts w:ascii="Arial" w:cs="Arial" w:eastAsia="Arial" w:hAnsi="Arial"/>
          <w:color w:val="333333"/>
          <w:sz w:val="22"/>
          <w:szCs w:val="22"/>
        </w:rPr>
        <w:t xml:space="preserve">Every fact stored in the memory system carries metadata indicating its provenance and a trust score derived from its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TTL Policy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owner direct 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(Verified)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expiration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Verified tool response (QuickBooks, etc.)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70 (Tool Verified)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180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Agent-extracted from conversation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(Extracted)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days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Customer-provided information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 (Customer Input)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Inbound email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(Inbound 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 days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External document / URL content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 (External)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 days</w:t>
            </w:r>
          </w:p>
        </w:tc>
      </w:tr>
    </w:tbl>
    <w:p>
      <w:pPr>
        <w:spacing w:before="120" w:after="0"/>
      </w:pPr>
    </w:p>
    <w:p>
      <w:pPr>
        <w:pStyle w:val="Heading3"/>
        <w:spacing w:before="200" w:after="120"/>
      </w:pPr>
      <w:r>
        <w:rPr>
          <w:rFonts w:ascii="Arial" w:cs="Arial" w:eastAsia="Arial" w:hAnsi="Arial"/>
          <w:b/>
          <w:bCs/>
          <w:color w:val="333333"/>
          <w:sz w:val="22"/>
          <w:szCs w:val="22"/>
        </w:rPr>
        <w:t xml:space="preserve">Trust-Gated Retrieval</w:t>
      </w:r>
    </w:p>
    <w:p>
      <w:pPr>
        <w:spacing w:after="160" w:line="300"/>
      </w:pPr>
      <w:r>
        <w:rPr>
          <w:rFonts w:ascii="Arial" w:cs="Arial" w:eastAsia="Arial" w:hAnsi="Arial"/>
          <w:color w:val="333333"/>
          <w:sz w:val="22"/>
          <w:szCs w:val="22"/>
        </w:rPr>
        <w:t xml:space="preserve">At retrieval time, the memory query applies a minimum trust threshold based on the operation the agent is about to perform. Financial operations only retrieve facts with trust level 70+. Outbound messaging operations require trust level 50+. Informational lookups can access the full range. This ensures that even if a poisoned fact enters the memory store at a low trust level, it can never influence high-sensitivity operations.</w:t>
      </w:r>
    </w:p>
    <w:p>
      <w:pPr>
        <w:pStyle w:val="Heading3"/>
        <w:spacing w:before="200" w:after="120"/>
      </w:pPr>
      <w:r>
        <w:rPr>
          <w:rFonts w:ascii="Arial" w:cs="Arial" w:eastAsia="Arial" w:hAnsi="Arial"/>
          <w:b/>
          <w:bCs/>
          <w:color w:val="333333"/>
          <w:sz w:val="22"/>
          <w:szCs w:val="22"/>
        </w:rPr>
        <w:t xml:space="preserve">Integration with Layer 1</w:t>
      </w:r>
    </w:p>
    <w:p>
      <w:pPr>
        <w:spacing w:after="160" w:line="300"/>
      </w:pPr>
      <w:r>
        <w:rPr>
          <w:rFonts w:ascii="Arial" w:cs="Arial" w:eastAsia="Arial" w:hAnsi="Arial"/>
          <w:color w:val="333333"/>
          <w:sz w:val="22"/>
          <w:szCs w:val="22"/>
        </w:rPr>
        <w:t xml:space="preserve">Layer 1’s scan results feed directly into Layer 3’s metadata. If the input scanner assigns a non-zero risk score to a message (below the block threshold but not clean), that score is stored alongside any facts extracted from that message. Facts with elevated scan scores are deprioritized or excluded during retrieval for sensitive operations.</w:t>
      </w:r>
    </w:p>
    <w:p>
      <w:pPr>
        <w:pStyle w:val="Heading3"/>
        <w:spacing w:before="200" w:after="120"/>
      </w:pPr>
      <w:r>
        <w:rPr>
          <w:rFonts w:ascii="Arial" w:cs="Arial" w:eastAsia="Arial" w:hAnsi="Arial"/>
          <w:b/>
          <w:bCs/>
          <w:color w:val="333333"/>
          <w:sz w:val="22"/>
          <w:szCs w:val="22"/>
        </w:rPr>
        <w:t xml:space="preserve">Decay and Rotation</w:t>
      </w:r>
    </w:p>
    <w:p>
      <w:pPr>
        <w:spacing w:after="160" w:line="300"/>
      </w:pPr>
      <w:r>
        <w:rPr>
          <w:rFonts w:ascii="Arial" w:cs="Arial" w:eastAsia="Arial" w:hAnsi="Arial"/>
          <w:color w:val="333333"/>
          <w:sz w:val="22"/>
          <w:szCs w:val="22"/>
        </w:rPr>
        <w:t xml:space="preserve">Time-to-live (TTL) policies enforce automatic expiration of low-trust memories. This limits the persistence window for any poisoned entry, directly countering the temporal decoupling that makes memory poisoning attacks effective. High-trust, owner-confirmed facts persist indefinitely. Everything else decays unless reinforced by subsequent verification.</w:t>
      </w:r>
    </w:p>
    <w:p>
      <w:pPr>
        <w:pStyle w:val="Heading3"/>
        <w:spacing w:before="200" w:after="120"/>
      </w:pPr>
      <w:r>
        <w:rPr>
          <w:rFonts w:ascii="Arial" w:cs="Arial" w:eastAsia="Arial" w:hAnsi="Arial"/>
          <w:b/>
          <w:bCs/>
          <w:color w:val="333333"/>
          <w:sz w:val="22"/>
          <w:szCs w:val="22"/>
        </w:rPr>
        <w:t xml:space="preserve">Human-in-the-Loop Approval</w:t>
      </w:r>
    </w:p>
    <w:p>
      <w:pPr>
        <w:spacing w:after="160" w:line="300"/>
      </w:pPr>
      <w:r>
        <w:rPr>
          <w:rFonts w:ascii="Arial" w:cs="Arial" w:eastAsia="Arial" w:hAnsi="Arial"/>
          <w:color w:val="333333"/>
          <w:sz w:val="22"/>
          <w:szCs w:val="22"/>
        </w:rPr>
        <w:t xml:space="preserve">For high-sensitivity fact persistence—vendor relationships, payment routing rules, access policies—the system requires explicit business owner confirmation before storing. The approval flow is delivered through existing messaging channels (iMessage, WhatsApp), making it lightweight and natural for non-technical users. This single control blocks the most dangerous class of memory poisoning attacks: those that attempt to alter business-critical beliefs.</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7. Defense Pipeline: End-to-End Flow</w:t>
      </w:r>
    </w:p>
    <w:p>
      <w:pPr>
        <w:spacing w:after="160" w:line="300"/>
      </w:pPr>
      <w:r>
        <w:rPr>
          <w:rFonts w:ascii="Arial" w:cs="Arial" w:eastAsia="Arial" w:hAnsi="Arial"/>
          <w:color w:val="333333"/>
          <w:sz w:val="22"/>
          <w:szCs w:val="22"/>
        </w:rPr>
        <w:t xml:space="preserve">The following illustrates how the three layers integrate into the message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Message received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Inbound from iMessage / WhatsApp /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Regex scan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Layer 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Pattern matching against known injection signatures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&lt;1ms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ML classifier scan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DeBERTa classifier via LLM Guard sidecar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20–50ms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 Agent processing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LLM processes clean input, decides on action and facts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Fact extraction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 source_type, trust_score, scan_result on each fact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&lt;1ms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 Memory write gate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Layer 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Block/flag instruction-like content; require owner approval for critical facts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0–50ms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Tool call minimizer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arguments against conversation context and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&lt;5ms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 Tool execution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QuickBooks / messaging / scheduling API call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Tool output sanitizer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Scan response for injected instructions via DeBERTa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20–50ms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 Agent receives clean response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Sanitized tool output returns to agent context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0ms</w:t>
            </w:r>
          </w:p>
        </w:tc>
      </w:tr>
    </w:tbl>
    <w:p>
      <w:pPr>
        <w:spacing w:before="120" w:after="0"/>
      </w:pPr>
    </w:p>
    <w:p>
      <w:pPr>
        <w:spacing w:after="160" w:line="300"/>
      </w:pPr>
      <w:r>
        <w:rPr>
          <w:rFonts w:ascii="Arial" w:cs="Arial" w:eastAsia="Arial" w:hAnsi="Arial"/>
          <w:color w:val="333333"/>
          <w:sz w:val="22"/>
          <w:szCs w:val="22"/>
        </w:rPr>
        <w:t xml:space="preserve">Total added security latency on the critical path: approximately 50–150ms, which is negligible compared to the 1–3 second LLM inference time that dominates the pipeline.</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8. Implementation Roadmap</w:t>
      </w:r>
    </w:p>
    <w:p>
      <w:pPr>
        <w:pStyle w:val="Heading2"/>
        <w:spacing w:before="280" w:after="160"/>
      </w:pPr>
      <w:r>
        <w:rPr>
          <w:rFonts w:ascii="Arial" w:cs="Arial" w:eastAsia="Arial" w:hAnsi="Arial"/>
          <w:b/>
          <w:bCs/>
          <w:color w:val="2E75B6"/>
          <w:sz w:val="26"/>
          <w:szCs w:val="26"/>
        </w:rPr>
        <w:t xml:space="preserve">Phase 1: Input Scanning (Layer 1)</w:t>
      </w:r>
    </w:p>
    <w:p>
      <w:pPr>
        <w:pStyle w:val="ListParagraph"/>
        <w:numPr>
          <w:ilvl w:val="0"/>
          <w:numId w:val="2"/>
        </w:numPr>
        <w:spacing w:after="100" w:line="280"/>
      </w:pPr>
      <w:r>
        <w:rPr>
          <w:rFonts w:ascii="Arial" w:cs="Arial" w:eastAsia="Arial" w:hAnsi="Arial"/>
          <w:color w:val="333333"/>
          <w:sz w:val="22"/>
          <w:szCs w:val="22"/>
        </w:rPr>
        <w:t xml:space="preserve">Install LLM Guard (pip install llm-guard[onnxruntime])</w:t>
      </w:r>
    </w:p>
    <w:p>
      <w:pPr>
        <w:pStyle w:val="ListParagraph"/>
        <w:numPr>
          <w:ilvl w:val="0"/>
          <w:numId w:val="2"/>
        </w:numPr>
        <w:spacing w:after="100" w:line="280"/>
      </w:pPr>
      <w:r>
        <w:rPr>
          <w:rFonts w:ascii="Arial" w:cs="Arial" w:eastAsia="Arial" w:hAnsi="Arial"/>
          <w:color w:val="333333"/>
          <w:sz w:val="22"/>
          <w:szCs w:val="22"/>
        </w:rPr>
        <w:t xml:space="preserve">Deploy DeBERTa-based PromptInjection scanner as a sidecar service on Mac Mini</w:t>
      </w:r>
    </w:p>
    <w:p>
      <w:pPr>
        <w:pStyle w:val="ListParagraph"/>
        <w:numPr>
          <w:ilvl w:val="0"/>
          <w:numId w:val="2"/>
        </w:numPr>
        <w:spacing w:after="100" w:line="280"/>
      </w:pPr>
      <w:r>
        <w:rPr>
          <w:rFonts w:ascii="Arial" w:cs="Arial" w:eastAsia="Arial" w:hAnsi="Arial"/>
          <w:color w:val="333333"/>
          <w:sz w:val="22"/>
          <w:szCs w:val="22"/>
        </w:rPr>
        <w:t xml:space="preserve">Wire into existing message ingestion pipeline behind existing regex scanning</w:t>
      </w:r>
    </w:p>
    <w:p>
      <w:pPr>
        <w:pStyle w:val="ListParagraph"/>
        <w:numPr>
          <w:ilvl w:val="0"/>
          <w:numId w:val="2"/>
        </w:numPr>
        <w:spacing w:after="100" w:line="280"/>
      </w:pPr>
      <w:r>
        <w:rPr>
          <w:rFonts w:ascii="Arial" w:cs="Arial" w:eastAsia="Arial" w:hAnsi="Arial"/>
          <w:color w:val="333333"/>
          <w:sz w:val="22"/>
          <w:szCs w:val="22"/>
        </w:rPr>
        <w:t xml:space="preserve">Calibrate threshold against realistic message traffic to minimize false positives</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1–2 days</w:t>
      </w:r>
    </w:p>
    <w:p>
      <w:pPr>
        <w:spacing w:before="120" w:after="0"/>
      </w:pPr>
    </w:p>
    <w:p>
      <w:pPr>
        <w:pStyle w:val="Heading2"/>
        <w:spacing w:before="280" w:after="160"/>
      </w:pPr>
      <w:r>
        <w:rPr>
          <w:rFonts w:ascii="Arial" w:cs="Arial" w:eastAsia="Arial" w:hAnsi="Arial"/>
          <w:b/>
          <w:bCs/>
          <w:color w:val="2E75B6"/>
          <w:sz w:val="26"/>
          <w:szCs w:val="26"/>
        </w:rPr>
        <w:t xml:space="preserve">Phase 2: Trust-Scored Memory (Layer 3)</w:t>
      </w:r>
    </w:p>
    <w:p>
      <w:pPr>
        <w:pStyle w:val="ListParagraph"/>
        <w:numPr>
          <w:ilvl w:val="0"/>
          <w:numId w:val="2"/>
        </w:numPr>
        <w:spacing w:after="100" w:line="280"/>
      </w:pPr>
      <w:r>
        <w:rPr>
          <w:rFonts w:ascii="Arial" w:cs="Arial" w:eastAsia="Arial" w:hAnsi="Arial"/>
          <w:color w:val="333333"/>
          <w:sz w:val="22"/>
          <w:szCs w:val="22"/>
        </w:rPr>
        <w:t xml:space="preserve">Add source_type, trust_score, scan_result, and channel columns to fact storage schema</w:t>
      </w:r>
    </w:p>
    <w:p>
      <w:pPr>
        <w:pStyle w:val="ListParagraph"/>
        <w:numPr>
          <w:ilvl w:val="0"/>
          <w:numId w:val="2"/>
        </w:numPr>
        <w:spacing w:after="100" w:line="280"/>
      </w:pPr>
      <w:r>
        <w:rPr>
          <w:rFonts w:ascii="Arial" w:cs="Arial" w:eastAsia="Arial" w:hAnsi="Arial"/>
          <w:color w:val="333333"/>
          <w:sz w:val="22"/>
          <w:szCs w:val="22"/>
        </w:rPr>
        <w:t xml:space="preserve">Implement trust mapping from source types to trust levels</w:t>
      </w:r>
    </w:p>
    <w:p>
      <w:pPr>
        <w:pStyle w:val="ListParagraph"/>
        <w:numPr>
          <w:ilvl w:val="0"/>
          <w:numId w:val="2"/>
        </w:numPr>
        <w:spacing w:after="100" w:line="280"/>
      </w:pPr>
      <w:r>
        <w:rPr>
          <w:rFonts w:ascii="Arial" w:cs="Arial" w:eastAsia="Arial" w:hAnsi="Arial"/>
          <w:color w:val="333333"/>
          <w:sz w:val="22"/>
          <w:szCs w:val="22"/>
        </w:rPr>
        <w:t xml:space="preserve">Update retrieval queries to filter by minimum trust based on operation context</w:t>
      </w:r>
    </w:p>
    <w:p>
      <w:pPr>
        <w:pStyle w:val="ListParagraph"/>
        <w:numPr>
          <w:ilvl w:val="0"/>
          <w:numId w:val="2"/>
        </w:numPr>
        <w:spacing w:after="100" w:line="280"/>
      </w:pPr>
      <w:r>
        <w:rPr>
          <w:rFonts w:ascii="Arial" w:cs="Arial" w:eastAsia="Arial" w:hAnsi="Arial"/>
          <w:color w:val="333333"/>
          <w:sz w:val="22"/>
          <w:szCs w:val="22"/>
        </w:rPr>
        <w:t xml:space="preserve">Wire Layer 1 scan scores into fact metadata at write time</w:t>
      </w:r>
    </w:p>
    <w:p>
      <w:pPr>
        <w:pStyle w:val="ListParagraph"/>
        <w:numPr>
          <w:ilvl w:val="0"/>
          <w:numId w:val="2"/>
        </w:numPr>
        <w:spacing w:after="100" w:line="280"/>
      </w:pPr>
      <w:r>
        <w:rPr>
          <w:rFonts w:ascii="Arial" w:cs="Arial" w:eastAsia="Arial" w:hAnsi="Arial"/>
          <w:color w:val="333333"/>
          <w:sz w:val="22"/>
          <w:szCs w:val="22"/>
        </w:rPr>
        <w:t xml:space="preserve">Implement owner approval flow for critical fact persistence via iMessage/WhatsApp</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2–3 days</w:t>
      </w:r>
    </w:p>
    <w:p>
      <w:pPr>
        <w:spacing w:before="120" w:after="0"/>
      </w:pPr>
    </w:p>
    <w:p>
      <w:pPr>
        <w:pStyle w:val="Heading2"/>
        <w:spacing w:before="280" w:after="160"/>
      </w:pPr>
      <w:r>
        <w:rPr>
          <w:rFonts w:ascii="Arial" w:cs="Arial" w:eastAsia="Arial" w:hAnsi="Arial"/>
          <w:b/>
          <w:bCs/>
          <w:color w:val="2E75B6"/>
          <w:sz w:val="26"/>
          <w:szCs w:val="26"/>
        </w:rPr>
        <w:t xml:space="preserve">Phase 3: Tool Boundary Guards (Layer 2)</w:t>
      </w:r>
    </w:p>
    <w:p>
      <w:pPr>
        <w:pStyle w:val="ListParagraph"/>
        <w:numPr>
          <w:ilvl w:val="0"/>
          <w:numId w:val="2"/>
        </w:numPr>
        <w:spacing w:after="100" w:line="280"/>
      </w:pPr>
      <w:r>
        <w:rPr>
          <w:rFonts w:ascii="Arial" w:cs="Arial" w:eastAsia="Arial" w:hAnsi="Arial"/>
          <w:color w:val="333333"/>
          <w:sz w:val="22"/>
          <w:szCs w:val="22"/>
        </w:rPr>
        <w:t xml:space="preserve">Implement Tool-Output Sanitizer using LLM Guard scanner on tool responses</w:t>
      </w:r>
    </w:p>
    <w:p>
      <w:pPr>
        <w:pStyle w:val="ListParagraph"/>
        <w:numPr>
          <w:ilvl w:val="0"/>
          <w:numId w:val="2"/>
        </w:numPr>
        <w:spacing w:after="100" w:line="280"/>
      </w:pPr>
      <w:r>
        <w:rPr>
          <w:rFonts w:ascii="Arial" w:cs="Arial" w:eastAsia="Arial" w:hAnsi="Arial"/>
          <w:color w:val="333333"/>
          <w:sz w:val="22"/>
          <w:szCs w:val="22"/>
        </w:rPr>
        <w:t xml:space="preserve">Define tool-specific policies for highest-risk integrations (QuickBooks, outbound messaging)</w:t>
      </w:r>
    </w:p>
    <w:p>
      <w:pPr>
        <w:pStyle w:val="ListParagraph"/>
        <w:numPr>
          <w:ilvl w:val="0"/>
          <w:numId w:val="2"/>
        </w:numPr>
        <w:spacing w:after="100" w:line="280"/>
      </w:pPr>
      <w:r>
        <w:rPr>
          <w:rFonts w:ascii="Arial" w:cs="Arial" w:eastAsia="Arial" w:hAnsi="Arial"/>
          <w:color w:val="333333"/>
          <w:sz w:val="22"/>
          <w:szCs w:val="22"/>
        </w:rPr>
        <w:t xml:space="preserve">Implement Tool-Input Minimizer with context validation for financial and messaging operations</w:t>
      </w:r>
    </w:p>
    <w:p>
      <w:pPr>
        <w:pStyle w:val="ListParagraph"/>
        <w:numPr>
          <w:ilvl w:val="0"/>
          <w:numId w:val="2"/>
        </w:numPr>
        <w:spacing w:after="100" w:line="280"/>
      </w:pPr>
      <w:r>
        <w:rPr>
          <w:rFonts w:ascii="Arial" w:cs="Arial" w:eastAsia="Arial" w:hAnsi="Arial"/>
          <w:color w:val="333333"/>
          <w:sz w:val="22"/>
          <w:szCs w:val="22"/>
        </w:rPr>
        <w:t xml:space="preserve">Add security event logging for blocked/flagged tool interactions</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3–5 days (scoped to specific tool integrations)</w:t>
      </w:r>
    </w:p>
    <w:p>
      <w:pPr>
        <w:spacing w:before="120" w:after="0"/>
      </w:pPr>
    </w:p>
    <w:p>
      <w:pPr>
        <w:pStyle w:val="Heading2"/>
        <w:spacing w:before="280" w:after="160"/>
      </w:pPr>
      <w:r>
        <w:rPr>
          <w:rFonts w:ascii="Arial" w:cs="Arial" w:eastAsia="Arial" w:hAnsi="Arial"/>
          <w:b/>
          <w:bCs/>
          <w:color w:val="2E75B6"/>
          <w:sz w:val="26"/>
          <w:szCs w:val="26"/>
        </w:rPr>
        <w:t xml:space="preserve">Phase 4: Validation and Hardening</w:t>
      </w:r>
    </w:p>
    <w:p>
      <w:pPr>
        <w:pStyle w:val="ListParagraph"/>
        <w:numPr>
          <w:ilvl w:val="0"/>
          <w:numId w:val="2"/>
        </w:numPr>
        <w:spacing w:after="100" w:line="280"/>
      </w:pPr>
      <w:r>
        <w:rPr>
          <w:rFonts w:ascii="Arial" w:cs="Arial" w:eastAsia="Arial" w:hAnsi="Arial"/>
          <w:color w:val="333333"/>
          <w:sz w:val="22"/>
          <w:szCs w:val="22"/>
        </w:rPr>
        <w:t xml:space="preserve">Red team the system using adapted AIShellJack and MINJA attack templates</w:t>
      </w:r>
    </w:p>
    <w:p>
      <w:pPr>
        <w:pStyle w:val="ListParagraph"/>
        <w:numPr>
          <w:ilvl w:val="0"/>
          <w:numId w:val="2"/>
        </w:numPr>
        <w:spacing w:after="100" w:line="280"/>
      </w:pPr>
      <w:r>
        <w:rPr>
          <w:rFonts w:ascii="Arial" w:cs="Arial" w:eastAsia="Arial" w:hAnsi="Arial"/>
          <w:color w:val="333333"/>
          <w:sz w:val="22"/>
          <w:szCs w:val="22"/>
        </w:rPr>
        <w:t xml:space="preserve">Test against realistic inbound messages (customer appointments, service inquiries, phishing attempts)</w:t>
      </w:r>
    </w:p>
    <w:p>
      <w:pPr>
        <w:pStyle w:val="ListParagraph"/>
        <w:numPr>
          <w:ilvl w:val="0"/>
          <w:numId w:val="2"/>
        </w:numPr>
        <w:spacing w:after="100" w:line="280"/>
      </w:pPr>
      <w:r>
        <w:rPr>
          <w:rFonts w:ascii="Arial" w:cs="Arial" w:eastAsia="Arial" w:hAnsi="Arial"/>
          <w:color w:val="333333"/>
          <w:sz w:val="22"/>
          <w:szCs w:val="22"/>
        </w:rPr>
        <w:t xml:space="preserve">Implement memory audit dashboard: periodic summary of stored facts by trust level</w:t>
      </w:r>
    </w:p>
    <w:p>
      <w:pPr>
        <w:pStyle w:val="ListParagraph"/>
        <w:numPr>
          <w:ilvl w:val="0"/>
          <w:numId w:val="2"/>
        </w:numPr>
        <w:spacing w:after="100" w:line="280"/>
      </w:pPr>
      <w:r>
        <w:rPr>
          <w:rFonts w:ascii="Arial" w:cs="Arial" w:eastAsia="Arial" w:hAnsi="Arial"/>
          <w:color w:val="333333"/>
          <w:sz w:val="22"/>
          <w:szCs w:val="22"/>
        </w:rPr>
        <w:t xml:space="preserve">Implement behavioral drift monitoring: flag when low-trust memories are retrieved for high-sensitivity operations</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Ongoing</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9. Extended Threat Analysis: Beyond the Three-Layer Model</w:t>
      </w:r>
    </w:p>
    <w:p>
      <w:pPr>
        <w:spacing w:after="160" w:line="300"/>
      </w:pPr>
      <w:r>
        <w:rPr>
          <w:rFonts w:ascii="Arial" w:cs="Arial" w:eastAsia="Arial" w:hAnsi="Arial"/>
          <w:color w:val="333333"/>
          <w:sz w:val="22"/>
          <w:szCs w:val="22"/>
        </w:rPr>
        <w:t xml:space="preserve">The three-layer defense architecture (Sections 6–8) addresses the primary data-plane threats: what goes in, what’s stored, and what actions are taken. However, a comprehensive security posture must also address control-plane threats—attacks that target the system’s own configuration, credentials, operational metadata, and behavioral integrity over time. This section documents six additional threat categories that fall outside the scope of the three-layer model.</w:t>
      </w:r>
    </w:p>
    <w:p>
      <w:pPr>
        <w:pStyle w:val="Heading2"/>
        <w:spacing w:before="280" w:after="160"/>
      </w:pPr>
      <w:r>
        <w:rPr>
          <w:rFonts w:ascii="Arial" w:cs="Arial" w:eastAsia="Arial" w:hAnsi="Arial"/>
          <w:b/>
          <w:bCs/>
          <w:color w:val="2E75B6"/>
          <w:sz w:val="26"/>
          <w:szCs w:val="26"/>
        </w:rPr>
        <w:t xml:space="preserve">9.1 System Prompt Extraction</w:t>
      </w:r>
    </w:p>
    <w:p>
      <w:pPr>
        <w:spacing w:after="160" w:line="300"/>
      </w:pPr>
      <w:r>
        <w:rPr>
          <w:rFonts w:ascii="Arial" w:cs="Arial" w:eastAsia="Arial" w:hAnsi="Arial"/>
          <w:color w:val="333333"/>
          <w:sz w:val="22"/>
          <w:szCs w:val="22"/>
        </w:rPr>
        <w:t xml:space="preserve">Lakera’s Q4 2025 data revealed that the single most common attacker objective was extracting the system prompt. Among the attacks observed, this objective appeared far more frequently than any other (Lakera, Q4 2025 Report). For adversaries, system prompts provide valuable intelligence: role definitions, tool descriptions, policy boundaries, and workflow logic that can be reused to craft more effective follow-on attacks.</w:t>
      </w:r>
    </w:p>
    <w:p>
      <w:pPr>
        <w:spacing w:after="160" w:line="300"/>
      </w:pPr>
      <w:r>
        <w:rPr>
          <w:rFonts w:ascii="Arial" w:cs="Arial" w:eastAsia="Arial" w:hAnsi="Arial"/>
          <w:color w:val="333333"/>
          <w:sz w:val="22"/>
          <w:szCs w:val="22"/>
        </w:rPr>
        <w:t xml:space="preserve">Two techniques dominated these extraction attempts: hypothetical scenarios and role framing (asking the model to “imagine” it was a developer or auditor in a simulation), and graduated probing designed to study the model’s refusal patterns and identify inconsistencies (Lakera, Q4 2025). This is reconnaissance—not the exploit itself—but it enables every subsequent attack to be more precisely targeted.</w:t>
      </w:r>
    </w:p>
    <w:p>
      <w:pPr>
        <w:pStyle w:val="Heading3"/>
        <w:spacing w:before="200" w:after="120"/>
      </w:pPr>
      <w:r>
        <w:rPr>
          <w:rFonts w:ascii="Arial" w:cs="Arial" w:eastAsia="Arial" w:hAnsi="Arial"/>
          <w:b/>
          <w:bCs/>
          <w:color w:val="333333"/>
          <w:sz w:val="22"/>
          <w:szCs w:val="22"/>
        </w:rPr>
        <w:t xml:space="preserve">Mitigation</w:t>
      </w:r>
    </w:p>
    <w:p>
      <w:pPr>
        <w:spacing w:after="160" w:line="300"/>
      </w:pPr>
      <w:r>
        <w:rPr>
          <w:rFonts w:ascii="Arial" w:cs="Arial" w:eastAsia="Arial" w:hAnsi="Arial"/>
          <w:color w:val="333333"/>
          <w:sz w:val="22"/>
          <w:szCs w:val="22"/>
        </w:rPr>
        <w:t xml:space="preserve">Treat the system prompt as a secret, not just an instruction. Implement anti-extraction techniques: avoid embedding tool schemas or policy rules in a format that could be regurgitated verbatim. Monitor for outputs that contain fragments of the system prompt and flag them. Consider dynamic prompt construction where sensitive policy details are injected at execution time rather than persisted in a static prompt template.</w:t>
      </w:r>
    </w:p>
    <w:p>
      <w:pPr>
        <w:spacing w:before="120" w:after="0"/>
      </w:pPr>
    </w:p>
    <w:p>
      <w:pPr>
        <w:pStyle w:val="Heading2"/>
        <w:spacing w:before="280" w:after="160"/>
      </w:pPr>
      <w:r>
        <w:rPr>
          <w:rFonts w:ascii="Arial" w:cs="Arial" w:eastAsia="Arial" w:hAnsi="Arial"/>
          <w:b/>
          <w:bCs/>
          <w:color w:val="2E75B6"/>
          <w:sz w:val="26"/>
          <w:szCs w:val="26"/>
        </w:rPr>
        <w:t xml:space="preserve">9.2 Credential Exposure in Agent Context</w:t>
      </w:r>
    </w:p>
    <w:p>
      <w:pPr>
        <w:spacing w:after="160" w:line="300"/>
      </w:pPr>
      <w:r>
        <w:rPr>
          <w:rFonts w:ascii="Arial" w:cs="Arial" w:eastAsia="Arial" w:hAnsi="Arial"/>
          <w:color w:val="333333"/>
          <w:sz w:val="22"/>
          <w:szCs w:val="22"/>
        </w:rPr>
        <w:t xml:space="preserve">The 90+ organizations compromised through AI prompt injection in 2025 were largely targeted for credential theft, not data destruction. As Repello AI documented: “Attackers understand that an agent’s context window is a credential store” (Repello AI, March 2026). An agent that holds API tokens, OAuth credentials, or session cookies in its context window carries high-value targets that are extractable via a single successful injection.</w:t>
      </w:r>
    </w:p>
    <w:p>
      <w:pPr>
        <w:spacing w:after="160" w:line="300"/>
      </w:pPr>
      <w:r>
        <w:rPr>
          <w:rFonts w:ascii="Arial" w:cs="Arial" w:eastAsia="Arial" w:hAnsi="Arial"/>
          <w:color w:val="333333"/>
          <w:sz w:val="22"/>
          <w:szCs w:val="22"/>
        </w:rPr>
        <w:t xml:space="preserve">This vulnerability is well-documented in the credential management literature. A ByteBridge analysis noted: “Once the agent retrieves the actual API keys from Vault, those secrets live in the agent’s memory space. From that point on, Vault is out of the picture and cannot protect how the agent uses (or misuses) the secret” (ByteBridge, December 2025). Even when using a secrets vault, the moment a credential enters agent-accessible memory, it becomes exfiltrable.</w:t>
      </w:r>
    </w:p>
    <w:p>
      <w:pPr>
        <w:pStyle w:val="Heading3"/>
        <w:spacing w:before="200" w:after="120"/>
      </w:pPr>
      <w:r>
        <w:rPr>
          <w:rFonts w:ascii="Arial" w:cs="Arial" w:eastAsia="Arial" w:hAnsi="Arial"/>
          <w:b/>
          <w:bCs/>
          <w:color w:val="333333"/>
          <w:sz w:val="22"/>
          <w:szCs w:val="22"/>
        </w:rPr>
        <w:t xml:space="preserve">Mitigation</w:t>
      </w:r>
    </w:p>
    <w:p>
      <w:pPr>
        <w:spacing w:after="160" w:line="300"/>
      </w:pPr>
      <w:r>
        <w:rPr>
          <w:rFonts w:ascii="Arial" w:cs="Arial" w:eastAsia="Arial" w:hAnsi="Arial"/>
          <w:color w:val="333333"/>
          <w:sz w:val="22"/>
          <w:szCs w:val="22"/>
        </w:rPr>
        <w:t xml:space="preserve">Implement a zero-knowledge credential architecture where the agent never sees actual secrets. Use opaque reference keys that the agent can request (“use the QuickBooks connection”) but cannot resolve. The platform core resolves references against an encrypted credential store (such as macOS Keychain for on-premise deployments) at the moment of tool execution, with credentials existing in memory only for the duration of the API call. Additionally, run secrets detection scanning (available in LLM Guard) on both agent input and output to catch accidental credential leakage. See Section 10 for the full credential vault architecture.</w:t>
      </w:r>
    </w:p>
    <w:p>
      <w:pPr>
        <w:spacing w:before="120" w:after="0"/>
      </w:pPr>
    </w:p>
    <w:p>
      <w:pPr>
        <w:pStyle w:val="Heading2"/>
        <w:spacing w:before="280" w:after="160"/>
      </w:pPr>
      <w:r>
        <w:rPr>
          <w:rFonts w:ascii="Arial" w:cs="Arial" w:eastAsia="Arial" w:hAnsi="Arial"/>
          <w:b/>
          <w:bCs/>
          <w:color w:val="2E75B6"/>
          <w:sz w:val="26"/>
          <w:szCs w:val="26"/>
        </w:rPr>
        <w:t xml:space="preserve">9.3 Agent as Lateral Movement Vector</w:t>
      </w:r>
    </w:p>
    <w:p>
      <w:pPr>
        <w:spacing w:after="160" w:line="300"/>
      </w:pPr>
      <w:r>
        <w:rPr>
          <w:rFonts w:ascii="Arial" w:cs="Arial" w:eastAsia="Arial" w:hAnsi="Arial"/>
          <w:color w:val="333333"/>
          <w:sz w:val="22"/>
          <w:szCs w:val="22"/>
        </w:rPr>
        <w:t xml:space="preserve">Agent-to-agent and agent-to-service communication introduces identity risks that extend beyond prompt injection. Cisco’s State of AI Security 2026 report documented how impersonation, session smuggling, and unauthorized capability escalation allowed attackers to exploit implicit trust between connected systems. In one case, “a compromised research agent could insert hidden instructions into output consumed by a financial agent, which then executed unintended trades” (Help Net Security / Cisco, February 2026).</w:t>
      </w:r>
    </w:p>
    <w:p>
      <w:pPr>
        <w:spacing w:after="160" w:line="300"/>
      </w:pPr>
      <w:r>
        <w:rPr>
          <w:rFonts w:ascii="Arial" w:cs="Arial" w:eastAsia="Arial" w:hAnsi="Arial"/>
          <w:color w:val="333333"/>
          <w:sz w:val="22"/>
          <w:szCs w:val="22"/>
        </w:rPr>
        <w:t xml:space="preserve">For agents that connect to multiple services (QuickBooks, messaging platforms, scheduling systems), each integration represents a lateral movement path. A compromised message bus could send poisoned data to a financial service, or vice versa. The CrowdStrike 2026 Global Threat Report found that 82% of detections were malware-free, relying on credential theft and identity-based access (Repello AI / CrowdStrike, 2026).</w:t>
      </w:r>
    </w:p>
    <w:p>
      <w:pPr>
        <w:pStyle w:val="Heading3"/>
        <w:spacing w:before="200" w:after="120"/>
      </w:pPr>
      <w:r>
        <w:rPr>
          <w:rFonts w:ascii="Arial" w:cs="Arial" w:eastAsia="Arial" w:hAnsi="Arial"/>
          <w:b/>
          <w:bCs/>
          <w:color w:val="333333"/>
          <w:sz w:val="22"/>
          <w:szCs w:val="22"/>
        </w:rPr>
        <w:t xml:space="preserve">Mitigation</w:t>
      </w:r>
    </w:p>
    <w:p>
      <w:pPr>
        <w:spacing w:after="160" w:line="300"/>
      </w:pPr>
      <w:r>
        <w:rPr>
          <w:rFonts w:ascii="Arial" w:cs="Arial" w:eastAsia="Arial" w:hAnsi="Arial"/>
          <w:color w:val="333333"/>
          <w:sz w:val="22"/>
          <w:szCs w:val="22"/>
        </w:rPr>
        <w:t xml:space="preserve">Treat each integration as its own trust domain with independent authentication and authorization policies. Implement per-tool credential isolation—each service connection should use unique, scoped credentials that cannot access other services. Monitor cross-service data flows for anomalous patterns (e.g., data from inbound email influencing QuickBooks operations). Apply the principle of least privilege: each tool integration should have the minimum permissions necessary for its function.</w:t>
      </w:r>
    </w:p>
    <w:p>
      <w:pPr>
        <w:spacing w:before="120" w:after="0"/>
      </w:pPr>
    </w:p>
    <w:p>
      <w:pPr>
        <w:pStyle w:val="Heading2"/>
        <w:spacing w:before="280" w:after="160"/>
      </w:pPr>
      <w:r>
        <w:rPr>
          <w:rFonts w:ascii="Arial" w:cs="Arial" w:eastAsia="Arial" w:hAnsi="Arial"/>
          <w:b/>
          <w:bCs/>
          <w:color w:val="2E75B6"/>
          <w:sz w:val="26"/>
          <w:szCs w:val="26"/>
        </w:rPr>
        <w:t xml:space="preserve">9.4 Slow-Burn Behavioral Drift</w:t>
      </w:r>
    </w:p>
    <w:p>
      <w:pPr>
        <w:spacing w:after="160" w:line="300"/>
      </w:pPr>
      <w:r>
        <w:rPr>
          <w:rFonts w:ascii="Arial" w:cs="Arial" w:eastAsia="Arial" w:hAnsi="Arial"/>
          <w:color w:val="333333"/>
          <w:sz w:val="22"/>
          <w:szCs w:val="22"/>
        </w:rPr>
        <w:t xml:space="preserve">Behavioral drift represents a distinct attack class from memory poisoning. Rather than injecting a single malicious fact, the attacker gradually shifts the agent’s behavior through a series of individually reasonable-looking interactions. Stellar Cyber (2026) documented a real-world example: “A manufacturing company’s procurement agent was manipulated over three weeks through seemingly helpful ‘clarifications’ about purchase authorization limits. By the time the attack was complete, the agent believed it could approve any purchase under $500,000 without human review. The attacker then placed $5 million in false purchase orders across 10 separate transactions.”</w:t>
      </w:r>
    </w:p>
    <w:p>
      <w:pPr>
        <w:spacing w:after="160" w:line="300"/>
      </w:pPr>
      <w:r>
        <w:rPr>
          <w:rFonts w:ascii="Arial" w:cs="Arial" w:eastAsia="Arial" w:hAnsi="Arial"/>
          <w:color w:val="333333"/>
          <w:sz w:val="22"/>
          <w:szCs w:val="22"/>
        </w:rPr>
        <w:t xml:space="preserve">Palo Alto Unit42 research (October 2026) on persistent prompt injection confirmed that “agents with long conversation histories are significantly more vulnerable to manipulation. An agent that has discussed policies for 50 exchanges might accept a 51st exchange that contradicts the first 50, especially if the contradiction is framed as a ‘policy update’” (Stellar Cyber, 2026).</w:t>
      </w:r>
    </w:p>
    <w:p>
      <w:pPr>
        <w:pStyle w:val="Heading3"/>
        <w:spacing w:before="200" w:after="120"/>
      </w:pPr>
      <w:r>
        <w:rPr>
          <w:rFonts w:ascii="Arial" w:cs="Arial" w:eastAsia="Arial" w:hAnsi="Arial"/>
          <w:b/>
          <w:bCs/>
          <w:color w:val="333333"/>
          <w:sz w:val="22"/>
          <w:szCs w:val="22"/>
        </w:rPr>
        <w:t xml:space="preserve">Mitigation</w:t>
      </w:r>
    </w:p>
    <w:p>
      <w:pPr>
        <w:spacing w:after="160" w:line="300"/>
      </w:pPr>
      <w:r>
        <w:rPr>
          <w:rFonts w:ascii="Arial" w:cs="Arial" w:eastAsia="Arial" w:hAnsi="Arial"/>
          <w:color w:val="333333"/>
          <w:sz w:val="22"/>
          <w:szCs w:val="22"/>
        </w:rPr>
        <w:t xml:space="preserve">Trust scoring on individual facts is necessary but not sufficient. Implement aggregate drift detection: monitor whether the agent’s decisions are trending away from its baseline over time. Track patterns where multiple low-trust facts collectively shift behavior in a consistent direction. Establish behavioral baselines during setup and alert when operational patterns deviate significantly. Periodically reset or re-verify high-sensitivity policy configurations with the business owner.</w:t>
      </w:r>
    </w:p>
    <w:p>
      <w:pPr>
        <w:spacing w:before="120" w:after="0"/>
      </w:pPr>
    </w:p>
    <w:p>
      <w:pPr>
        <w:pStyle w:val="Heading2"/>
        <w:spacing w:before="280" w:after="160"/>
      </w:pPr>
      <w:r>
        <w:rPr>
          <w:rFonts w:ascii="Arial" w:cs="Arial" w:eastAsia="Arial" w:hAnsi="Arial"/>
          <w:b/>
          <w:bCs/>
          <w:color w:val="2E75B6"/>
          <w:sz w:val="26"/>
          <w:szCs w:val="26"/>
        </w:rPr>
        <w:t xml:space="preserve">9.5 Supply Chain Attacks on Model and Tool Dependencies</w:t>
      </w:r>
    </w:p>
    <w:p>
      <w:pPr>
        <w:spacing w:after="160" w:line="300"/>
      </w:pPr>
      <w:r>
        <w:rPr>
          <w:rFonts w:ascii="Arial" w:cs="Arial" w:eastAsia="Arial" w:hAnsi="Arial"/>
          <w:color w:val="333333"/>
          <w:sz w:val="22"/>
          <w:szCs w:val="22"/>
        </w:rPr>
        <w:t xml:space="preserve">The AI supply chain has emerged as a significant attack surface. Cisco’s State of AI Security 2026 found that “model files can contain executable code that runs during loading. Malicious code embedded in model objects can trigger automatically when a model initializes” (Help Net Security / Cisco, February 2026). Research demonstrated that injecting just 250 poisoned documents into training data can implant backdoors that activate under specific trigger phrases, leaving general performance unchanged.</w:t>
      </w:r>
    </w:p>
    <w:p>
      <w:pPr>
        <w:spacing w:after="160" w:line="300"/>
      </w:pPr>
      <w:r>
        <w:rPr>
          <w:rFonts w:ascii="Arial" w:cs="Arial" w:eastAsia="Arial" w:hAnsi="Arial"/>
          <w:color w:val="333333"/>
          <w:sz w:val="22"/>
          <w:szCs w:val="22"/>
        </w:rPr>
        <w:t xml:space="preserve">The Stellar Cyber report (2026) documented the Salt Typhoon campaign (2024–2026) where state-sponsored actors compromised telecommunications infrastructure through supply chain attacks and remained undetected for over a year. In the agentic context, “attackers are injecting malicious logic into popular open-source agent frameworks and tool definitions that developers download. The Barracuda Security report (November 2026) identified 43 different agent framework components with embedded vulnerabilities introduced via supply chain compromise” (Stellar Cyber, 2026).</w:t>
      </w:r>
    </w:p>
    <w:p>
      <w:pPr>
        <w:pStyle w:val="Heading3"/>
        <w:spacing w:before="200" w:after="120"/>
      </w:pPr>
      <w:r>
        <w:rPr>
          <w:rFonts w:ascii="Arial" w:cs="Arial" w:eastAsia="Arial" w:hAnsi="Arial"/>
          <w:b/>
          <w:bCs/>
          <w:color w:val="333333"/>
          <w:sz w:val="22"/>
          <w:szCs w:val="22"/>
        </w:rPr>
        <w:t xml:space="preserve">Mitigation</w:t>
      </w:r>
    </w:p>
    <w:p>
      <w:pPr>
        <w:spacing w:after="160" w:line="300"/>
      </w:pPr>
      <w:r>
        <w:rPr>
          <w:rFonts w:ascii="Arial" w:cs="Arial" w:eastAsia="Arial" w:hAnsi="Arial"/>
          <w:color w:val="333333"/>
          <w:sz w:val="22"/>
          <w:szCs w:val="22"/>
        </w:rPr>
        <w:t xml:space="preserve">Pin all model artifacts and dependencies to specific versions with verified checksums. Never auto-update models or framework components in production. Maintain a manifest of all model files, their sources, and their cryptographic hashes. For locally deployed models (DeBERTa for LLM Guard, any fine-tuned models via MLX/LoRA), verify integrity on every load. Treat model files with the same supply chain rigor as compiled binaries.</w:t>
      </w:r>
    </w:p>
    <w:p>
      <w:pPr>
        <w:spacing w:before="120" w:after="0"/>
      </w:pPr>
    </w:p>
    <w:p>
      <w:pPr>
        <w:pStyle w:val="Heading2"/>
        <w:spacing w:before="280" w:after="160"/>
      </w:pPr>
      <w:r>
        <w:rPr>
          <w:rFonts w:ascii="Arial" w:cs="Arial" w:eastAsia="Arial" w:hAnsi="Arial"/>
          <w:b/>
          <w:bCs/>
          <w:color w:val="2E75B6"/>
          <w:sz w:val="26"/>
          <w:szCs w:val="26"/>
        </w:rPr>
        <w:t xml:space="preserve">9.6 Approval Fatigue and Rate-Based Attacks</w:t>
      </w:r>
    </w:p>
    <w:p>
      <w:pPr>
        <w:spacing w:after="160" w:line="300"/>
      </w:pPr>
      <w:r>
        <w:rPr>
          <w:rFonts w:ascii="Arial" w:cs="Arial" w:eastAsia="Arial" w:hAnsi="Arial"/>
          <w:color w:val="333333"/>
          <w:sz w:val="22"/>
          <w:szCs w:val="22"/>
        </w:rPr>
        <w:t xml:space="preserve">Human-in-the-loop approval flows are a critical defense, but they introduce their own vulnerability: approval fatigue. The CrowdStrike 2026 data showed average breakout times of 29 minutes from initial access to lateral movement, with the fastest observed at 27 seconds (Repello AI / CrowdStrike, 2026). If an attacker can trigger a flood of approval requests, the business owner may rubber-stamp them to clear the queue.</w:t>
      </w:r>
    </w:p>
    <w:p>
      <w:pPr>
        <w:spacing w:after="160" w:line="300"/>
      </w:pPr>
      <w:r>
        <w:rPr>
          <w:rFonts w:ascii="Arial" w:cs="Arial" w:eastAsia="Arial" w:hAnsi="Arial"/>
          <w:color w:val="333333"/>
          <w:sz w:val="22"/>
          <w:szCs w:val="22"/>
        </w:rPr>
        <w:t xml:space="preserve">CaMeL’s researchers acknowledged this limitation: “Since CaMeL may require users to manually approve privacy-sensitive tasks, there is a risk of user fatigue, which could lead to automatic and careless approvals” (Debenedetti et al., 2025; InfoQ, April 2025).</w:t>
      </w:r>
    </w:p>
    <w:p>
      <w:pPr>
        <w:pStyle w:val="Heading3"/>
        <w:spacing w:before="200" w:after="120"/>
      </w:pPr>
      <w:r>
        <w:rPr>
          <w:rFonts w:ascii="Arial" w:cs="Arial" w:eastAsia="Arial" w:hAnsi="Arial"/>
          <w:b/>
          <w:bCs/>
          <w:color w:val="333333"/>
          <w:sz w:val="22"/>
          <w:szCs w:val="22"/>
        </w:rPr>
        <w:t xml:space="preserve">Mitigation</w:t>
      </w:r>
    </w:p>
    <w:p>
      <w:pPr>
        <w:spacing w:after="160" w:line="300"/>
      </w:pPr>
      <w:r>
        <w:rPr>
          <w:rFonts w:ascii="Arial" w:cs="Arial" w:eastAsia="Arial" w:hAnsi="Arial"/>
          <w:color w:val="333333"/>
          <w:sz w:val="22"/>
          <w:szCs w:val="22"/>
        </w:rPr>
        <w:t xml:space="preserve">Implement rate limiting on approval requests—no more than N high-sensitivity actions within a time window. Default to deny when the owner does not respond within a configurable timeout. Group related approval requests into batches rather than individual notifications. Escalate to a secondary contact or lock the system if approval request volume exceeds normal patterns. Log all approval decisions (including timeouts) for audit.</w:t>
      </w:r>
    </w:p>
    <w:p>
      <w:pPr>
        <w:spacing w:before="120" w:after="0"/>
      </w:pPr>
    </w:p>
    <w:p>
      <w:pPr>
        <w:pStyle w:val="Heading2"/>
        <w:spacing w:before="280" w:after="160"/>
      </w:pPr>
      <w:r>
        <w:rPr>
          <w:rFonts w:ascii="Arial" w:cs="Arial" w:eastAsia="Arial" w:hAnsi="Arial"/>
          <w:b/>
          <w:bCs/>
          <w:color w:val="2E75B6"/>
          <w:sz w:val="26"/>
          <w:szCs w:val="26"/>
        </w:rPr>
        <w:t xml:space="preserve">9.7 Log and Diagnostic Data as an Attack Surface</w:t>
      </w:r>
    </w:p>
    <w:p>
      <w:pPr>
        <w:spacing w:after="160" w:line="300"/>
      </w:pPr>
      <w:r>
        <w:rPr>
          <w:rFonts w:ascii="Arial" w:cs="Arial" w:eastAsia="Arial" w:hAnsi="Arial"/>
          <w:color w:val="333333"/>
          <w:sz w:val="22"/>
          <w:szCs w:val="22"/>
        </w:rPr>
        <w:t xml:space="preserve">Routing logs, memory audit trails, and diagnostic data capture the full operational behavior of the agent—routing decisions, memory retrievals, tool calls, and their arguments. On a physically accessible on-premise device, these logs provide equivalent reconnaissance value to extracting the system prompt. If an attacker gains read access to logs, they can identify tool schemas, policy boundaries, credential reference patterns, and customer data flows.</w:t>
      </w:r>
    </w:p>
    <w:p>
      <w:pPr>
        <w:pStyle w:val="Heading3"/>
        <w:spacing w:before="200" w:after="120"/>
      </w:pPr>
      <w:r>
        <w:rPr>
          <w:rFonts w:ascii="Arial" w:cs="Arial" w:eastAsia="Arial" w:hAnsi="Arial"/>
          <w:b/>
          <w:bCs/>
          <w:color w:val="333333"/>
          <w:sz w:val="22"/>
          <w:szCs w:val="22"/>
        </w:rPr>
        <w:t xml:space="preserve">Mitigation</w:t>
      </w:r>
    </w:p>
    <w:p>
      <w:pPr>
        <w:spacing w:after="160" w:line="300"/>
      </w:pPr>
      <w:r>
        <w:rPr>
          <w:rFonts w:ascii="Arial" w:cs="Arial" w:eastAsia="Arial" w:hAnsi="Arial"/>
          <w:color w:val="333333"/>
          <w:sz w:val="22"/>
          <w:szCs w:val="22"/>
        </w:rPr>
        <w:t xml:space="preserve">Encrypt log storage at rest. Redact or tokenize sensitive values in log entries (customer PII, credential reference keys, financial amounts). Restrict log access to authenticated administrative sessions. Implement log rotation with secure deletion of aged entries. Consider write-only log architectures where the agent process can append but not read historical logs.</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10. Credential Vault Architecture</w:t>
      </w:r>
    </w:p>
    <w:p>
      <w:pPr>
        <w:spacing w:after="160" w:line="300"/>
      </w:pPr>
      <w:r>
        <w:rPr>
          <w:rFonts w:ascii="Arial" w:cs="Arial" w:eastAsia="Arial" w:hAnsi="Arial"/>
          <w:color w:val="333333"/>
          <w:sz w:val="22"/>
          <w:szCs w:val="22"/>
        </w:rPr>
        <w:t xml:space="preserve">The credential exposure threat (Section 9.2) requires an architectural solution, not just a policy. This section defines a zero-knowledge credential vault designed for on-premise deployment, drawing on industry guidance from HashiCorp, 1Password, and emerging research on agentic secrets infrastructure.</w:t>
      </w:r>
    </w:p>
    <w:p>
      <w:pPr>
        <w:pStyle w:val="Heading2"/>
        <w:spacing w:before="280" w:after="160"/>
      </w:pPr>
      <w:r>
        <w:rPr>
          <w:rFonts w:ascii="Arial" w:cs="Arial" w:eastAsia="Arial" w:hAnsi="Arial"/>
          <w:b/>
          <w:bCs/>
          <w:color w:val="2E75B6"/>
          <w:sz w:val="26"/>
          <w:szCs w:val="26"/>
        </w:rPr>
        <w:t xml:space="preserve">10.1 Industry Context</w:t>
      </w:r>
    </w:p>
    <w:p>
      <w:pPr>
        <w:spacing w:after="160" w:line="300"/>
      </w:pPr>
      <w:r>
        <w:rPr>
          <w:rFonts w:ascii="Arial" w:cs="Arial" w:eastAsia="Arial" w:hAnsi="Arial"/>
          <w:color w:val="333333"/>
          <w:sz w:val="22"/>
          <w:szCs w:val="22"/>
        </w:rPr>
        <w:t xml:space="preserve">Enterprise credential management for AI agents is an emerging category. HashiCorp Vault has published validated patterns for AI agent dynamic secrets management, using short-lived credentials generated on demand and scoped to individual tasks (HashiCorp, 2025). 1Password has shipped an agentic AI product that injects credentials on behalf of agents, ensuring they are “never seen by an AI agent or LLM” (1Password, 2025). Keeper Security launched an MCP integration for their secrets manager (Keeper, July 2025).</w:t>
      </w:r>
    </w:p>
    <w:p>
      <w:pPr>
        <w:spacing w:after="160" w:line="300"/>
      </w:pPr>
      <w:r>
        <w:rPr>
          <w:rFonts w:ascii="Arial" w:cs="Arial" w:eastAsia="Arial" w:hAnsi="Arial"/>
          <w:color w:val="333333"/>
          <w:sz w:val="22"/>
          <w:szCs w:val="22"/>
        </w:rPr>
        <w:t xml:space="preserve">However, these solutions are enterprise-grade and cloud-oriented—too heavy for on-premise single-device deployments. A DEV Community article defined “agentic secrets infrastructure” as a missing category, arguing that existing vaults and secrets managers were built for a different threat model. Their key design constraint: “Zero-knowledge must extend through the entire lifecycle. When the agent lists available secrets, it sees names. When it pulls credentials, values go to the OS keychain—not to agent memory” (DEV Community, March 2026). This article specifically identifies macOS Keychain as the appropriate credential store for local deployments.</w:t>
      </w:r>
    </w:p>
    <w:p>
      <w:pPr>
        <w:pStyle w:val="Heading2"/>
        <w:spacing w:before="280" w:after="160"/>
      </w:pPr>
      <w:r>
        <w:rPr>
          <w:rFonts w:ascii="Arial" w:cs="Arial" w:eastAsia="Arial" w:hAnsi="Arial"/>
          <w:b/>
          <w:bCs/>
          <w:color w:val="2E75B6"/>
          <w:sz w:val="26"/>
          <w:szCs w:val="26"/>
        </w:rPr>
        <w:t xml:space="preserve">10.2 Architecture</w:t>
      </w:r>
    </w:p>
    <w:p>
      <w:pPr>
        <w:pStyle w:val="Heading3"/>
        <w:spacing w:before="200" w:after="120"/>
      </w:pPr>
      <w:r>
        <w:rPr>
          <w:rFonts w:ascii="Arial" w:cs="Arial" w:eastAsia="Arial" w:hAnsi="Arial"/>
          <w:b/>
          <w:bCs/>
          <w:color w:val="333333"/>
          <w:sz w:val="22"/>
          <w:szCs w:val="22"/>
        </w:rPr>
        <w:t xml:space="preserve">Design Principles</w:t>
      </w:r>
    </w:p>
    <w:p>
      <w:pPr>
        <w:pStyle w:val="ListParagraph"/>
        <w:numPr>
          <w:ilvl w:val="0"/>
          <w:numId w:val="2"/>
        </w:numPr>
        <w:spacing w:after="100" w:line="280"/>
      </w:pPr>
      <w:r>
        <w:rPr>
          <w:rFonts w:ascii="Arial" w:cs="Arial" w:eastAsia="Arial" w:hAnsi="Arial"/>
          <w:b/>
          <w:bCs/>
          <w:color w:val="333333"/>
          <w:sz w:val="22"/>
          <w:szCs w:val="22"/>
        </w:rPr>
        <w:t xml:space="preserve">Zero-knowledge agent: </w:t>
      </w:r>
      <w:r>
        <w:rPr>
          <w:rFonts w:ascii="Arial" w:cs="Arial" w:eastAsia="Arial" w:hAnsi="Arial"/>
          <w:color w:val="333333"/>
          <w:sz w:val="22"/>
          <w:szCs w:val="22"/>
        </w:rPr>
        <w:t xml:space="preserve">The agent never sees, stores, or processes actual credential values. It operates exclusively with opaque reference keys.</w:t>
      </w:r>
    </w:p>
    <w:p>
      <w:pPr>
        <w:pStyle w:val="ListParagraph"/>
        <w:numPr>
          <w:ilvl w:val="0"/>
          <w:numId w:val="2"/>
        </w:numPr>
        <w:spacing w:after="100" w:line="280"/>
      </w:pPr>
      <w:r>
        <w:rPr>
          <w:rFonts w:ascii="Arial" w:cs="Arial" w:eastAsia="Arial" w:hAnsi="Arial"/>
          <w:b/>
          <w:bCs/>
          <w:color w:val="333333"/>
          <w:sz w:val="22"/>
          <w:szCs w:val="22"/>
        </w:rPr>
        <w:t xml:space="preserve">Late resolution: </w:t>
      </w:r>
      <w:r>
        <w:rPr>
          <w:rFonts w:ascii="Arial" w:cs="Arial" w:eastAsia="Arial" w:hAnsi="Arial"/>
          <w:color w:val="333333"/>
          <w:sz w:val="22"/>
          <w:szCs w:val="22"/>
        </w:rPr>
        <w:t xml:space="preserve">Credentials are resolved from the vault at the last possible moment—inside the tool execution layer, after all security checks have passed.</w:t>
      </w:r>
    </w:p>
    <w:p>
      <w:pPr>
        <w:pStyle w:val="ListParagraph"/>
        <w:numPr>
          <w:ilvl w:val="0"/>
          <w:numId w:val="2"/>
        </w:numPr>
        <w:spacing w:after="100" w:line="280"/>
      </w:pPr>
      <w:r>
        <w:rPr>
          <w:rFonts w:ascii="Arial" w:cs="Arial" w:eastAsia="Arial" w:hAnsi="Arial"/>
          <w:b/>
          <w:bCs/>
          <w:color w:val="333333"/>
          <w:sz w:val="22"/>
          <w:szCs w:val="22"/>
        </w:rPr>
        <w:t xml:space="preserve">Minimal residence: </w:t>
      </w:r>
      <w:r>
        <w:rPr>
          <w:rFonts w:ascii="Arial" w:cs="Arial" w:eastAsia="Arial" w:hAnsi="Arial"/>
          <w:color w:val="333333"/>
          <w:sz w:val="22"/>
          <w:szCs w:val="22"/>
        </w:rPr>
        <w:t xml:space="preserve">Actual credential values exist in process memory only for the duration of the API call, then are discarded.</w:t>
      </w:r>
    </w:p>
    <w:p>
      <w:pPr>
        <w:pStyle w:val="ListParagraph"/>
        <w:numPr>
          <w:ilvl w:val="0"/>
          <w:numId w:val="2"/>
        </w:numPr>
        <w:spacing w:after="100" w:line="280"/>
      </w:pPr>
      <w:r>
        <w:rPr>
          <w:rFonts w:ascii="Arial" w:cs="Arial" w:eastAsia="Arial" w:hAnsi="Arial"/>
          <w:b/>
          <w:bCs/>
          <w:color w:val="333333"/>
          <w:sz w:val="22"/>
          <w:szCs w:val="22"/>
        </w:rPr>
        <w:t xml:space="preserve">Revocation simplicity: </w:t>
      </w:r>
      <w:r>
        <w:rPr>
          <w:rFonts w:ascii="Arial" w:cs="Arial" w:eastAsia="Arial" w:hAnsi="Arial"/>
          <w:color w:val="333333"/>
          <w:sz w:val="22"/>
          <w:szCs w:val="22"/>
        </w:rPr>
        <w:t xml:space="preserve">Credential updates require changing one vault entry. All reference keys automatically resolve to the new value.</w:t>
      </w:r>
    </w:p>
    <w:p>
      <w:pPr>
        <w:pStyle w:val="Heading3"/>
        <w:spacing w:before="200" w:after="120"/>
      </w:pPr>
      <w:r>
        <w:rPr>
          <w:rFonts w:ascii="Arial" w:cs="Arial" w:eastAsia="Arial" w:hAnsi="Arial"/>
          <w:b/>
          <w:bCs/>
          <w:color w:val="333333"/>
          <w:sz w:val="22"/>
          <w:szCs w:val="22"/>
        </w:rPr>
        <w:t xml:space="preserve">Components</w:t>
      </w:r>
    </w:p>
    <w:p>
      <w:pPr>
        <w:pStyle w:val="ListParagraph"/>
        <w:numPr>
          <w:ilvl w:val="0"/>
          <w:numId w:val="3"/>
        </w:numPr>
        <w:spacing w:after="100" w:line="280"/>
      </w:pPr>
      <w:r>
        <w:rPr>
          <w:rFonts w:ascii="Arial" w:cs="Arial" w:eastAsia="Arial" w:hAnsi="Arial"/>
          <w:b/>
          <w:bCs/>
          <w:color w:val="333333"/>
          <w:sz w:val="22"/>
          <w:szCs w:val="22"/>
        </w:rPr>
        <w:t xml:space="preserve">macOS Keychain (Backend Store): </w:t>
      </w:r>
      <w:r>
        <w:rPr>
          <w:rFonts w:ascii="Arial" w:cs="Arial" w:eastAsia="Arial" w:hAnsi="Arial"/>
          <w:color w:val="333333"/>
          <w:sz w:val="22"/>
          <w:szCs w:val="22"/>
        </w:rPr>
        <w:t xml:space="preserve">Encrypted credential storage managed by the operating system. Credentials are encrypted at rest by the OS security framework. The platform core accesses Keychain programmatically during tool execution.</w:t>
      </w:r>
    </w:p>
    <w:p>
      <w:pPr>
        <w:pStyle w:val="ListParagraph"/>
        <w:numPr>
          <w:ilvl w:val="0"/>
          <w:numId w:val="3"/>
        </w:numPr>
        <w:spacing w:after="100" w:line="280"/>
      </w:pPr>
      <w:r>
        <w:rPr>
          <w:rFonts w:ascii="Arial" w:cs="Arial" w:eastAsia="Arial" w:hAnsi="Arial"/>
          <w:b/>
          <w:bCs/>
          <w:color w:val="333333"/>
          <w:sz w:val="22"/>
          <w:szCs w:val="22"/>
        </w:rPr>
        <w:t xml:space="preserve">SQLite Reference Table (Lookup Layer): </w:t>
      </w:r>
      <w:r>
        <w:rPr>
          <w:rFonts w:ascii="Arial" w:cs="Arial" w:eastAsia="Arial" w:hAnsi="Arial"/>
          <w:color w:val="333333"/>
          <w:sz w:val="22"/>
          <w:szCs w:val="22"/>
        </w:rPr>
        <w:t xml:space="preserve">Maps human-readable reference keys to Keychain item identifiers. Contains metadata including service name, creation date, last rotation date, and access policy (which operation categories may resolve this credential). The agent can query available connection names but cannot resolve their values.</w:t>
      </w:r>
    </w:p>
    <w:p>
      <w:pPr>
        <w:pStyle w:val="ListParagraph"/>
        <w:numPr>
          <w:ilvl w:val="0"/>
          <w:numId w:val="3"/>
        </w:numPr>
        <w:spacing w:after="100" w:line="280"/>
      </w:pPr>
      <w:r>
        <w:rPr>
          <w:rFonts w:ascii="Arial" w:cs="Arial" w:eastAsia="Arial" w:hAnsi="Arial"/>
          <w:b/>
          <w:bCs/>
          <w:color w:val="333333"/>
          <w:sz w:val="22"/>
          <w:szCs w:val="22"/>
        </w:rPr>
        <w:t xml:space="preserve">LLM Guard Secrets Scanner (Leak Prevention): </w:t>
      </w:r>
      <w:r>
        <w:rPr>
          <w:rFonts w:ascii="Arial" w:cs="Arial" w:eastAsia="Arial" w:hAnsi="Arial"/>
          <w:color w:val="333333"/>
          <w:sz w:val="22"/>
          <w:szCs w:val="22"/>
        </w:rPr>
        <w:t xml:space="preserve">Runs on both inbound messages (catch users accidentally pasting credentials) and agent output (catch any credential leakage in responses). Uses pattern-based and ML-based detection for API keys, tokens, passwords, and other secret formats.</w:t>
      </w:r>
    </w:p>
    <w:p>
      <w:pPr>
        <w:pStyle w:val="Heading3"/>
        <w:spacing w:before="200" w:after="120"/>
      </w:pPr>
      <w:r>
        <w:rPr>
          <w:rFonts w:ascii="Arial" w:cs="Arial" w:eastAsia="Arial" w:hAnsi="Arial"/>
          <w:b/>
          <w:bCs/>
          <w:color w:val="333333"/>
          <w:sz w:val="22"/>
          <w:szCs w:val="22"/>
        </w:rPr>
        <w:t xml:space="preserve">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Sees Credential?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Agent decides to call QuickBooks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Passes reference key qb_prod to core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Core validates the request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Platform Core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Checks operation policy, runs Minimizer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Core resolves credential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(momentarily)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from Keychain, injects into API call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 API call executes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Platform Core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(in transit)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HTTPS call to QuickBooks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Credential discarded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 released from memory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 Response sanitized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Platform Core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Sanitizer scrubs tool response before agent sees it</w:t>
            </w:r>
          </w:p>
        </w:tc>
      </w:tr>
    </w:tbl>
    <w:p>
      <w:pPr>
        <w:spacing w:before="120" w:after="0"/>
      </w:pPr>
    </w:p>
    <w:p>
      <w:pPr>
        <w:pStyle w:val="Heading3"/>
        <w:spacing w:before="200" w:after="120"/>
      </w:pPr>
      <w:r>
        <w:rPr>
          <w:rFonts w:ascii="Arial" w:cs="Arial" w:eastAsia="Arial" w:hAnsi="Arial"/>
          <w:b/>
          <w:bCs/>
          <w:color w:val="333333"/>
          <w:sz w:val="22"/>
          <w:szCs w:val="22"/>
        </w:rPr>
        <w:t xml:space="preserve">Handling User-Provided Secrets</w:t>
      </w:r>
    </w:p>
    <w:p>
      <w:pPr>
        <w:spacing w:after="160" w:line="300"/>
      </w:pPr>
      <w:r>
        <w:rPr>
          <w:rFonts w:ascii="Arial" w:cs="Arial" w:eastAsia="Arial" w:hAnsi="Arial"/>
          <w:color w:val="333333"/>
          <w:sz w:val="22"/>
          <w:szCs w:val="22"/>
        </w:rPr>
        <w:t xml:space="preserve">When a business owner inadvertently provides sensitive information (credit card numbers, account passwords, API keys) in a chat message, the input scanning pipeline (Layer 1) should intercept it. LLM Guard’s Secrets scanner and Anonymize scanner detect these patterns. Upon detection: the raw value is stored in the Keychain vault, a reference key is generated, and only the reference (e.g., “owner’s payment method ending in 4821”) enters the agent context and memory store. The original message is redacted in conversation logs.</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11. Open Research Areas and Unsolved Problems</w:t>
      </w:r>
    </w:p>
    <w:p>
      <w:pPr>
        <w:spacing w:after="160" w:line="300"/>
      </w:pPr>
      <w:r>
        <w:rPr>
          <w:rFonts w:ascii="Arial" w:cs="Arial" w:eastAsia="Arial" w:hAnsi="Arial"/>
          <w:color w:val="333333"/>
          <w:sz w:val="22"/>
          <w:szCs w:val="22"/>
        </w:rPr>
        <w:t xml:space="preserve">Several areas of agentic AI security remain actively unsolved in the research literature. This section documents these open problems to inform future development priorities and architectural decisions.</w:t>
      </w:r>
    </w:p>
    <w:p>
      <w:pPr>
        <w:pStyle w:val="Heading2"/>
        <w:spacing w:before="280" w:after="160"/>
      </w:pPr>
      <w:r>
        <w:rPr>
          <w:rFonts w:ascii="Arial" w:cs="Arial" w:eastAsia="Arial" w:hAnsi="Arial"/>
          <w:b/>
          <w:bCs/>
          <w:color w:val="2E75B6"/>
          <w:sz w:val="26"/>
          <w:szCs w:val="26"/>
        </w:rPr>
        <w:t xml:space="preserve">11.1 The Stochastic Nature Problem</w:t>
      </w:r>
    </w:p>
    <w:p>
      <w:pPr>
        <w:spacing w:after="160" w:line="300"/>
      </w:pPr>
      <w:r>
        <w:rPr>
          <w:rFonts w:ascii="Arial" w:cs="Arial" w:eastAsia="Arial" w:hAnsi="Arial"/>
          <w:color w:val="333333"/>
          <w:sz w:val="22"/>
          <w:szCs w:val="22"/>
        </w:rPr>
        <w:t xml:space="preserve">LLMs are fundamentally probabilistic systems. The same input can produce different outputs across runs, which means security guarantees based on model behavior are inherently unreliable. As the MDPI Comprehensive Review (2026) identified, this “stochastic nature problem” means that any defense relying on model behavior (including prompt-based guardrails and model fine-tuning for safety) operates with probabilistic guarantees, not deterministic ones. Simon Willison articulated this clearly: “You can train a model on a collection of previous prompt injection examples and get to a 99% score in detecting new ones… and that’s useless, because in application security 99% is a failing grade” (Willison, April 2025).</w:t>
      </w:r>
    </w:p>
    <w:p>
      <w:pPr>
        <w:spacing w:after="160" w:line="300"/>
      </w:pPr>
      <w:r>
        <w:rPr>
          <w:rFonts w:ascii="Arial" w:cs="Arial" w:eastAsia="Arial" w:hAnsi="Arial"/>
          <w:b/>
          <w:bCs/>
          <w:color w:val="333333"/>
          <w:sz w:val="22"/>
          <w:szCs w:val="22"/>
        </w:rPr>
        <w:t xml:space="preserve">Implication for design: </w:t>
      </w:r>
      <w:r>
        <w:rPr>
          <w:rFonts w:ascii="Arial" w:cs="Arial" w:eastAsia="Arial" w:hAnsi="Arial"/>
          <w:color w:val="333333"/>
          <w:sz w:val="22"/>
          <w:szCs w:val="22"/>
        </w:rPr>
        <w:t xml:space="preserve">Security controls must be architectural (external to the model) rather than behavioral (relying on the model to self-police). This is the core principle underlying CaMeL and the approach adopted in this document.</w:t>
      </w:r>
    </w:p>
    <w:p>
      <w:pPr>
        <w:spacing w:before="120" w:after="0"/>
      </w:pPr>
    </w:p>
    <w:p>
      <w:pPr>
        <w:pStyle w:val="Heading2"/>
        <w:spacing w:before="280" w:after="160"/>
      </w:pPr>
      <w:r>
        <w:rPr>
          <w:rFonts w:ascii="Arial" w:cs="Arial" w:eastAsia="Arial" w:hAnsi="Arial"/>
          <w:b/>
          <w:bCs/>
          <w:color w:val="2E75B6"/>
          <w:sz w:val="26"/>
          <w:szCs w:val="26"/>
        </w:rPr>
        <w:t xml:space="preserve">11.2 Adaptive Attacks and the Arms Race</w:t>
      </w:r>
    </w:p>
    <w:p>
      <w:pPr>
        <w:spacing w:after="160" w:line="300"/>
      </w:pPr>
      <w:r>
        <w:rPr>
          <w:rFonts w:ascii="Arial" w:cs="Arial" w:eastAsia="Arial" w:hAnsi="Arial"/>
          <w:color w:val="333333"/>
          <w:sz w:val="22"/>
          <w:szCs w:val="22"/>
        </w:rPr>
        <w:t xml:space="preserve">Joint research from OpenAI, Anthropic, and Google DeepMind (“The Attacker Moves Second,” arXiv 2510.09023, 2025) tested 12 published defenses and bypassed all of them with over 90% success rate using adaptive strategies. OpenAI’s own RL-trained red team attacker was able to “steer an agent into executing sophisticated, long-horizon harmful workflows that unfold over tens (or even hundreds) of steps” and discovered “novel attack strategies that did not appear in our human red teaming campaign or external reports” (OpenAI, December 2025; Fortune, December 2025). The International AI Safety Report 2026 found that sophisticated attackers bypass the best-defended models approximately 50% of the time with just 10 attempts (Cyberdesserts, 2025).</w:t>
      </w:r>
    </w:p>
    <w:p>
      <w:pPr>
        <w:spacing w:after="160" w:line="300"/>
      </w:pPr>
      <w:r>
        <w:rPr>
          <w:rFonts w:ascii="Arial" w:cs="Arial" w:eastAsia="Arial" w:hAnsi="Arial"/>
          <w:b/>
          <w:bCs/>
          <w:color w:val="333333"/>
          <w:sz w:val="22"/>
          <w:szCs w:val="22"/>
        </w:rPr>
        <w:t xml:space="preserve">Implication for design: </w:t>
      </w:r>
      <w:r>
        <w:rPr>
          <w:rFonts w:ascii="Arial" w:cs="Arial" w:eastAsia="Arial" w:hAnsi="Arial"/>
          <w:color w:val="333333"/>
          <w:sz w:val="22"/>
          <w:szCs w:val="22"/>
        </w:rPr>
        <w:t xml:space="preserve">No single defense layer can be treated as reliable. Defense-in-depth is not optional—it is the only approach that provides operational resilience when individual layers are inevitably bypassed.</w:t>
      </w:r>
    </w:p>
    <w:p>
      <w:pPr>
        <w:spacing w:before="120" w:after="0"/>
      </w:pPr>
    </w:p>
    <w:p>
      <w:pPr>
        <w:pStyle w:val="Heading2"/>
        <w:spacing w:before="280" w:after="160"/>
      </w:pPr>
      <w:r>
        <w:rPr>
          <w:rFonts w:ascii="Arial" w:cs="Arial" w:eastAsia="Arial" w:hAnsi="Arial"/>
          <w:b/>
          <w:bCs/>
          <w:color w:val="2E75B6"/>
          <w:sz w:val="26"/>
          <w:szCs w:val="26"/>
        </w:rPr>
        <w:t xml:space="preserve">11.3 Cross-Modal and Multimodal Injection</w:t>
      </w:r>
    </w:p>
    <w:p>
      <w:pPr>
        <w:spacing w:after="160" w:line="300"/>
      </w:pPr>
      <w:r>
        <w:rPr>
          <w:rFonts w:ascii="Arial" w:cs="Arial" w:eastAsia="Arial" w:hAnsi="Arial"/>
          <w:color w:val="333333"/>
          <w:sz w:val="22"/>
          <w:szCs w:val="22"/>
        </w:rPr>
        <w:t xml:space="preserve">OWASP’s 2025 analysis noted that multimodal AI introduces unique prompt injection risks: “Malicious actors could exploit interactions between modalities, such as hiding instructions in images that accompany benign text. The complexity of these systems expands the attack surface. Multimodal models may also be susceptible to novel cross-modal attacks that are difficult to detect and mitigate with current techniques” (OWASP LLM01:2025). The MDPI review documented a case where “Bing AI’s legitimate cross-tab context awareness was exploited via hidden instructions on attacker webpages commanding extraction of financial data from other open tabs” (MDPI, 2026).</w:t>
      </w:r>
    </w:p>
    <w:p>
      <w:pPr>
        <w:spacing w:after="160" w:line="300"/>
      </w:pPr>
      <w:r>
        <w:rPr>
          <w:rFonts w:ascii="Arial" w:cs="Arial" w:eastAsia="Arial" w:hAnsi="Arial"/>
          <w:b/>
          <w:bCs/>
          <w:color w:val="333333"/>
          <w:sz w:val="22"/>
          <w:szCs w:val="22"/>
        </w:rPr>
        <w:t xml:space="preserve">Implication for design: </w:t>
      </w:r>
      <w:r>
        <w:rPr>
          <w:rFonts w:ascii="Arial" w:cs="Arial" w:eastAsia="Arial" w:hAnsi="Arial"/>
          <w:color w:val="333333"/>
          <w:sz w:val="22"/>
          <w:szCs w:val="22"/>
        </w:rPr>
        <w:t xml:space="preserve">If the platform expands to process images, documents, or other media types, each modality requires its own input scanning pipeline. Text-based injection detection does not transfer to image-embedded or audio-embedded attacks.</w:t>
      </w:r>
    </w:p>
    <w:p>
      <w:pPr>
        <w:spacing w:before="120" w:after="0"/>
      </w:pPr>
    </w:p>
    <w:p>
      <w:pPr>
        <w:pStyle w:val="Heading2"/>
        <w:spacing w:before="280" w:after="160"/>
      </w:pPr>
      <w:r>
        <w:rPr>
          <w:rFonts w:ascii="Arial" w:cs="Arial" w:eastAsia="Arial" w:hAnsi="Arial"/>
          <w:b/>
          <w:bCs/>
          <w:color w:val="2E75B6"/>
          <w:sz w:val="26"/>
          <w:szCs w:val="26"/>
        </w:rPr>
        <w:t xml:space="preserve">11.4 Viral Agent Loops and Self-Propagating Worms</w:t>
      </w:r>
    </w:p>
    <w:p>
      <w:pPr>
        <w:spacing w:after="160" w:line="300"/>
      </w:pPr>
      <w:r>
        <w:rPr>
          <w:rFonts w:ascii="Arial" w:cs="Arial" w:eastAsia="Arial" w:hAnsi="Arial"/>
          <w:color w:val="333333"/>
          <w:sz w:val="22"/>
          <w:szCs w:val="22"/>
        </w:rPr>
        <w:t xml:space="preserve">Emerging research has identified “Viral Agent Loops”—scenarios in which compromised agents act as vectors for self-propagating generative worms without exploiting code-level vulnerabilities (arXiv:2602.19555, February 2026). The attack leverages the agent’s own communication capabilities to spread malicious instructions to other agents or systems it interacts with. This is particularly relevant for multi-agent architectures and any system where agent output feeds into another system’s input.</w:t>
      </w:r>
    </w:p>
    <w:p>
      <w:pPr>
        <w:spacing w:after="160" w:line="300"/>
      </w:pPr>
      <w:r>
        <w:rPr>
          <w:rFonts w:ascii="Arial" w:cs="Arial" w:eastAsia="Arial" w:hAnsi="Arial"/>
          <w:b/>
          <w:bCs/>
          <w:color w:val="333333"/>
          <w:sz w:val="22"/>
          <w:szCs w:val="22"/>
        </w:rPr>
        <w:t xml:space="preserve">Implication for design: </w:t>
      </w:r>
      <w:r>
        <w:rPr>
          <w:rFonts w:ascii="Arial" w:cs="Arial" w:eastAsia="Arial" w:hAnsi="Arial"/>
          <w:color w:val="333333"/>
          <w:sz w:val="22"/>
          <w:szCs w:val="22"/>
        </w:rPr>
        <w:t xml:space="preserve">Agent output should be treated with the same suspicion as external input when consumed by downstream systems. Output sanitization is not just about protecting users—it’s about preventing the agent from becoming an unwitting propagation vector.</w:t>
      </w:r>
    </w:p>
    <w:p>
      <w:pPr>
        <w:spacing w:before="120" w:after="0"/>
      </w:pPr>
    </w:p>
    <w:p>
      <w:pPr>
        <w:pStyle w:val="Heading2"/>
        <w:spacing w:before="280" w:after="160"/>
      </w:pPr>
      <w:r>
        <w:rPr>
          <w:rFonts w:ascii="Arial" w:cs="Arial" w:eastAsia="Arial" w:hAnsi="Arial"/>
          <w:b/>
          <w:bCs/>
          <w:color w:val="2E75B6"/>
          <w:sz w:val="26"/>
          <w:szCs w:val="26"/>
        </w:rPr>
        <w:t xml:space="preserve">11.5 Formal Verification of Trust Boundaries</w:t>
      </w:r>
    </w:p>
    <w:p>
      <w:pPr>
        <w:spacing w:after="160" w:line="300"/>
      </w:pPr>
      <w:r>
        <w:rPr>
          <w:rFonts w:ascii="Arial" w:cs="Arial" w:eastAsia="Arial" w:hAnsi="Arial"/>
          <w:color w:val="333333"/>
          <w:sz w:val="22"/>
          <w:szCs w:val="22"/>
        </w:rPr>
        <w:t xml:space="preserve">The meta-analysis of 78 studies on agentic coding assistant security (arXiv:2601.17548, January 2026) concluded that “future work should focus on formal verification of trust boundaries, novel architectures that separate instruction and data pathways, and economic frameworks that incentivize security investment.” Currently, trust boundaries in agentic systems are enforced by convention and policy, not by provably correct mechanisms. CaMeL’s capability-based approach moves toward formal guarantees but acknowledges limitations around side-channel attacks and policy specification burden.</w:t>
      </w:r>
    </w:p>
    <w:p>
      <w:pPr>
        <w:spacing w:after="160" w:line="300"/>
      </w:pPr>
      <w:r>
        <w:rPr>
          <w:rFonts w:ascii="Arial" w:cs="Arial" w:eastAsia="Arial" w:hAnsi="Arial"/>
          <w:b/>
          <w:bCs/>
          <w:color w:val="333333"/>
          <w:sz w:val="22"/>
          <w:szCs w:val="22"/>
        </w:rPr>
        <w:t xml:space="preserve">Implication for design: </w:t>
      </w:r>
      <w:r>
        <w:rPr>
          <w:rFonts w:ascii="Arial" w:cs="Arial" w:eastAsia="Arial" w:hAnsi="Arial"/>
          <w:color w:val="333333"/>
          <w:sz w:val="22"/>
          <w:szCs w:val="22"/>
        </w:rPr>
        <w:t xml:space="preserve">Architectural trust boundaries (treating the agent as untrusted, enforcing policies in the platform core) provide stronger guarantees than model-level defenses, but they are not formally verified. As formal methods mature in this space, they should be adopted to strengthen the security model.</w:t>
      </w:r>
    </w:p>
    <w:p>
      <w:pPr>
        <w:spacing w:before="120" w:after="0"/>
      </w:pPr>
    </w:p>
    <w:p>
      <w:pPr>
        <w:pStyle w:val="Heading2"/>
        <w:spacing w:before="280" w:after="160"/>
      </w:pPr>
      <w:r>
        <w:rPr>
          <w:rFonts w:ascii="Arial" w:cs="Arial" w:eastAsia="Arial" w:hAnsi="Arial"/>
          <w:b/>
          <w:bCs/>
          <w:color w:val="2E75B6"/>
          <w:sz w:val="26"/>
          <w:szCs w:val="26"/>
        </w:rPr>
        <w:t xml:space="preserve">11.6 Economic and Regulatory Landscape</w:t>
      </w:r>
    </w:p>
    <w:p>
      <w:pPr>
        <w:spacing w:after="160" w:line="300"/>
      </w:pPr>
      <w:r>
        <w:rPr>
          <w:rFonts w:ascii="Arial" w:cs="Arial" w:eastAsia="Arial" w:hAnsi="Arial"/>
          <w:color w:val="333333"/>
          <w:sz w:val="22"/>
          <w:szCs w:val="22"/>
        </w:rPr>
        <w:t xml:space="preserve">Compliance frameworks are rapidly evolving to address AI-specific risks. NIST AI RMF and ISO 42001 now mandate specific controls for prompt injection prevention and detection (Obsidian Security, 2026). OWASP has published three separate top-10 lists relevant to agentic AI: LLM Applications 2025, MCP Top 10 2025, and Agentic Applications 2026. Under GDPR, organizations are liable for data breaches caused by their agents regardless of whether a human explicitly authorized the action (Stellar Cyber, 2026). HIPAA violation penalties range from $100 to $50,000 per violation with mandatory breach notification requirements (MintMCP, 2026).</w:t>
      </w:r>
    </w:p>
    <w:p>
      <w:pPr>
        <w:spacing w:after="160" w:line="300"/>
      </w:pPr>
      <w:r>
        <w:rPr>
          <w:rFonts w:ascii="Arial" w:cs="Arial" w:eastAsia="Arial" w:hAnsi="Arial"/>
          <w:b/>
          <w:bCs/>
          <w:color w:val="333333"/>
          <w:sz w:val="22"/>
          <w:szCs w:val="22"/>
        </w:rPr>
        <w:t xml:space="preserve">Implication for design: </w:t>
      </w:r>
      <w:r>
        <w:rPr>
          <w:rFonts w:ascii="Arial" w:cs="Arial" w:eastAsia="Arial" w:hAnsi="Arial"/>
          <w:color w:val="333333"/>
          <w:sz w:val="22"/>
          <w:szCs w:val="22"/>
        </w:rPr>
        <w:t xml:space="preserve">The defense architecture should produce auditable logs that demonstrate compliance with relevant frameworks. Traceability from inbound message through security scans, trust scoring, policy decisions, and tool execution provides the evidence trail required for regulatory compliance.</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12. Updated Implementation Roadmap</w:t>
      </w:r>
    </w:p>
    <w:p>
      <w:pPr>
        <w:spacing w:after="160" w:line="300"/>
      </w:pPr>
      <w:r>
        <w:rPr>
          <w:rFonts w:ascii="Arial" w:cs="Arial" w:eastAsia="Arial" w:hAnsi="Arial"/>
          <w:color w:val="333333"/>
          <w:sz w:val="22"/>
          <w:szCs w:val="22"/>
        </w:rPr>
        <w:t xml:space="preserve">The following extends the original four-phase roadmap (Section 8) with additional phases covering the extended threat mitigations and credential vault.</w:t>
      </w:r>
    </w:p>
    <w:p>
      <w:pPr>
        <w:pStyle w:val="Heading2"/>
        <w:spacing w:before="280" w:after="160"/>
      </w:pPr>
      <w:r>
        <w:rPr>
          <w:rFonts w:ascii="Arial" w:cs="Arial" w:eastAsia="Arial" w:hAnsi="Arial"/>
          <w:b/>
          <w:bCs/>
          <w:color w:val="2E75B6"/>
          <w:sz w:val="26"/>
          <w:szCs w:val="26"/>
        </w:rPr>
        <w:t xml:space="preserve">Phase 5: Credential Vault</w:t>
      </w:r>
    </w:p>
    <w:p>
      <w:pPr>
        <w:pStyle w:val="ListParagraph"/>
        <w:numPr>
          <w:ilvl w:val="0"/>
          <w:numId w:val="2"/>
        </w:numPr>
        <w:spacing w:after="100" w:line="280"/>
      </w:pPr>
      <w:r>
        <w:rPr>
          <w:rFonts w:ascii="Arial" w:cs="Arial" w:eastAsia="Arial" w:hAnsi="Arial"/>
          <w:color w:val="333333"/>
          <w:sz w:val="22"/>
          <w:szCs w:val="22"/>
        </w:rPr>
        <w:t xml:space="preserve">Implement SQLite reference table mapping connection names to macOS Keychain identifiers</w:t>
      </w:r>
    </w:p>
    <w:p>
      <w:pPr>
        <w:pStyle w:val="ListParagraph"/>
        <w:numPr>
          <w:ilvl w:val="0"/>
          <w:numId w:val="2"/>
        </w:numPr>
        <w:spacing w:after="100" w:line="280"/>
      </w:pPr>
      <w:r>
        <w:rPr>
          <w:rFonts w:ascii="Arial" w:cs="Arial" w:eastAsia="Arial" w:hAnsi="Arial"/>
          <w:color w:val="333333"/>
          <w:sz w:val="22"/>
          <w:szCs w:val="22"/>
        </w:rPr>
        <w:t xml:space="preserve">Refactor tool execution layer to resolve credentials from vault at call time</w:t>
      </w:r>
    </w:p>
    <w:p>
      <w:pPr>
        <w:pStyle w:val="ListParagraph"/>
        <w:numPr>
          <w:ilvl w:val="0"/>
          <w:numId w:val="2"/>
        </w:numPr>
        <w:spacing w:after="100" w:line="280"/>
      </w:pPr>
      <w:r>
        <w:rPr>
          <w:rFonts w:ascii="Arial" w:cs="Arial" w:eastAsia="Arial" w:hAnsi="Arial"/>
          <w:color w:val="333333"/>
          <w:sz w:val="22"/>
          <w:szCs w:val="22"/>
        </w:rPr>
        <w:t xml:space="preserve">Add LLM Guard Secrets scanner to input and output pipelines</w:t>
      </w:r>
    </w:p>
    <w:p>
      <w:pPr>
        <w:pStyle w:val="ListParagraph"/>
        <w:numPr>
          <w:ilvl w:val="0"/>
          <w:numId w:val="2"/>
        </w:numPr>
        <w:spacing w:after="100" w:line="280"/>
      </w:pPr>
      <w:r>
        <w:rPr>
          <w:rFonts w:ascii="Arial" w:cs="Arial" w:eastAsia="Arial" w:hAnsi="Arial"/>
          <w:color w:val="333333"/>
          <w:sz w:val="22"/>
          <w:szCs w:val="22"/>
        </w:rPr>
        <w:t xml:space="preserve">Implement credential rotation support with reference key stability</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2–3 days</w:t>
      </w:r>
    </w:p>
    <w:p>
      <w:pPr>
        <w:spacing w:before="120" w:after="0"/>
      </w:pPr>
    </w:p>
    <w:p>
      <w:pPr>
        <w:pStyle w:val="Heading2"/>
        <w:spacing w:before="280" w:after="160"/>
      </w:pPr>
      <w:r>
        <w:rPr>
          <w:rFonts w:ascii="Arial" w:cs="Arial" w:eastAsia="Arial" w:hAnsi="Arial"/>
          <w:b/>
          <w:bCs/>
          <w:color w:val="2E75B6"/>
          <w:sz w:val="26"/>
          <w:szCs w:val="26"/>
        </w:rPr>
        <w:t xml:space="preserve">Phase 6: System Prompt Hardening</w:t>
      </w:r>
    </w:p>
    <w:p>
      <w:pPr>
        <w:pStyle w:val="ListParagraph"/>
        <w:numPr>
          <w:ilvl w:val="0"/>
          <w:numId w:val="2"/>
        </w:numPr>
        <w:spacing w:after="100" w:line="280"/>
      </w:pPr>
      <w:r>
        <w:rPr>
          <w:rFonts w:ascii="Arial" w:cs="Arial" w:eastAsia="Arial" w:hAnsi="Arial"/>
          <w:color w:val="333333"/>
          <w:sz w:val="22"/>
          <w:szCs w:val="22"/>
        </w:rPr>
        <w:t xml:space="preserve">Audit system prompt for extractable intelligence (tool schemas, policy rules)</w:t>
      </w:r>
    </w:p>
    <w:p>
      <w:pPr>
        <w:pStyle w:val="ListParagraph"/>
        <w:numPr>
          <w:ilvl w:val="0"/>
          <w:numId w:val="2"/>
        </w:numPr>
        <w:spacing w:after="100" w:line="280"/>
      </w:pPr>
      <w:r>
        <w:rPr>
          <w:rFonts w:ascii="Arial" w:cs="Arial" w:eastAsia="Arial" w:hAnsi="Arial"/>
          <w:color w:val="333333"/>
          <w:sz w:val="22"/>
          <w:szCs w:val="22"/>
        </w:rPr>
        <w:t xml:space="preserve">Implement dynamic prompt construction for sensitive policy details</w:t>
      </w:r>
    </w:p>
    <w:p>
      <w:pPr>
        <w:pStyle w:val="ListParagraph"/>
        <w:numPr>
          <w:ilvl w:val="0"/>
          <w:numId w:val="2"/>
        </w:numPr>
        <w:spacing w:after="100" w:line="280"/>
      </w:pPr>
      <w:r>
        <w:rPr>
          <w:rFonts w:ascii="Arial" w:cs="Arial" w:eastAsia="Arial" w:hAnsi="Arial"/>
          <w:color w:val="333333"/>
          <w:sz w:val="22"/>
          <w:szCs w:val="22"/>
        </w:rPr>
        <w:t xml:space="preserve">Add output monitoring for system prompt fragment leakage</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1–2 days</w:t>
      </w:r>
    </w:p>
    <w:p>
      <w:pPr>
        <w:spacing w:before="120" w:after="0"/>
      </w:pPr>
    </w:p>
    <w:p>
      <w:pPr>
        <w:pStyle w:val="Heading2"/>
        <w:spacing w:before="280" w:after="160"/>
      </w:pPr>
      <w:r>
        <w:rPr>
          <w:rFonts w:ascii="Arial" w:cs="Arial" w:eastAsia="Arial" w:hAnsi="Arial"/>
          <w:b/>
          <w:bCs/>
          <w:color w:val="2E75B6"/>
          <w:sz w:val="26"/>
          <w:szCs w:val="26"/>
        </w:rPr>
        <w:t xml:space="preserve">Phase 7: Behavioral Drift Monitoring</w:t>
      </w:r>
    </w:p>
    <w:p>
      <w:pPr>
        <w:pStyle w:val="ListParagraph"/>
        <w:numPr>
          <w:ilvl w:val="0"/>
          <w:numId w:val="2"/>
        </w:numPr>
        <w:spacing w:after="100" w:line="280"/>
      </w:pPr>
      <w:r>
        <w:rPr>
          <w:rFonts w:ascii="Arial" w:cs="Arial" w:eastAsia="Arial" w:hAnsi="Arial"/>
          <w:color w:val="333333"/>
          <w:sz w:val="22"/>
          <w:szCs w:val="22"/>
        </w:rPr>
        <w:t xml:space="preserve">Establish operational baselines during business owner setup</w:t>
      </w:r>
    </w:p>
    <w:p>
      <w:pPr>
        <w:pStyle w:val="ListParagraph"/>
        <w:numPr>
          <w:ilvl w:val="0"/>
          <w:numId w:val="2"/>
        </w:numPr>
        <w:spacing w:after="100" w:line="280"/>
      </w:pPr>
      <w:r>
        <w:rPr>
          <w:rFonts w:ascii="Arial" w:cs="Arial" w:eastAsia="Arial" w:hAnsi="Arial"/>
          <w:color w:val="333333"/>
          <w:sz w:val="22"/>
          <w:szCs w:val="22"/>
        </w:rPr>
        <w:t xml:space="preserve">Implement aggregate trend analysis on memory retrieval patterns and tool call distributions</w:t>
      </w:r>
    </w:p>
    <w:p>
      <w:pPr>
        <w:pStyle w:val="ListParagraph"/>
        <w:numPr>
          <w:ilvl w:val="0"/>
          <w:numId w:val="2"/>
        </w:numPr>
        <w:spacing w:after="100" w:line="280"/>
      </w:pPr>
      <w:r>
        <w:rPr>
          <w:rFonts w:ascii="Arial" w:cs="Arial" w:eastAsia="Arial" w:hAnsi="Arial"/>
          <w:color w:val="333333"/>
          <w:sz w:val="22"/>
          <w:szCs w:val="22"/>
        </w:rPr>
        <w:t xml:space="preserve">Alert when low-trust memories disproportionately influence high-sensitivity operations</w:t>
      </w:r>
    </w:p>
    <w:p>
      <w:pPr>
        <w:pStyle w:val="ListParagraph"/>
        <w:numPr>
          <w:ilvl w:val="0"/>
          <w:numId w:val="2"/>
        </w:numPr>
        <w:spacing w:after="100" w:line="280"/>
      </w:pPr>
      <w:r>
        <w:rPr>
          <w:rFonts w:ascii="Arial" w:cs="Arial" w:eastAsia="Arial" w:hAnsi="Arial"/>
          <w:color w:val="333333"/>
          <w:sz w:val="22"/>
          <w:szCs w:val="22"/>
        </w:rPr>
        <w:t xml:space="preserve">Periodic owner-facing behavioral summary reports via messaging channels</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3–5 days</w:t>
      </w:r>
    </w:p>
    <w:p>
      <w:pPr>
        <w:spacing w:before="120" w:after="0"/>
      </w:pPr>
    </w:p>
    <w:p>
      <w:pPr>
        <w:pStyle w:val="Heading2"/>
        <w:spacing w:before="280" w:after="160"/>
      </w:pPr>
      <w:r>
        <w:rPr>
          <w:rFonts w:ascii="Arial" w:cs="Arial" w:eastAsia="Arial" w:hAnsi="Arial"/>
          <w:b/>
          <w:bCs/>
          <w:color w:val="2E75B6"/>
          <w:sz w:val="26"/>
          <w:szCs w:val="26"/>
        </w:rPr>
        <w:t xml:space="preserve">Phase 8: Supply Chain and Infrastructure Hardening</w:t>
      </w:r>
    </w:p>
    <w:p>
      <w:pPr>
        <w:pStyle w:val="ListParagraph"/>
        <w:numPr>
          <w:ilvl w:val="0"/>
          <w:numId w:val="2"/>
        </w:numPr>
        <w:spacing w:after="100" w:line="280"/>
      </w:pPr>
      <w:r>
        <w:rPr>
          <w:rFonts w:ascii="Arial" w:cs="Arial" w:eastAsia="Arial" w:hAnsi="Arial"/>
          <w:color w:val="333333"/>
          <w:sz w:val="22"/>
          <w:szCs w:val="22"/>
        </w:rPr>
        <w:t xml:space="preserve">Pin all model artifacts to specific versions with cryptographic hashes</w:t>
      </w:r>
    </w:p>
    <w:p>
      <w:pPr>
        <w:pStyle w:val="ListParagraph"/>
        <w:numPr>
          <w:ilvl w:val="0"/>
          <w:numId w:val="2"/>
        </w:numPr>
        <w:spacing w:after="100" w:line="280"/>
      </w:pPr>
      <w:r>
        <w:rPr>
          <w:rFonts w:ascii="Arial" w:cs="Arial" w:eastAsia="Arial" w:hAnsi="Arial"/>
          <w:color w:val="333333"/>
          <w:sz w:val="22"/>
          <w:szCs w:val="22"/>
        </w:rPr>
        <w:t xml:space="preserve">Implement integrity verification on model load for LLM Guard and any local fine-tuned models</w:t>
      </w:r>
    </w:p>
    <w:p>
      <w:pPr>
        <w:pStyle w:val="ListParagraph"/>
        <w:numPr>
          <w:ilvl w:val="0"/>
          <w:numId w:val="2"/>
        </w:numPr>
        <w:spacing w:after="100" w:line="280"/>
      </w:pPr>
      <w:r>
        <w:rPr>
          <w:rFonts w:ascii="Arial" w:cs="Arial" w:eastAsia="Arial" w:hAnsi="Arial"/>
          <w:color w:val="333333"/>
          <w:sz w:val="22"/>
          <w:szCs w:val="22"/>
        </w:rPr>
        <w:t xml:space="preserve">Encrypt log storage at rest; implement PII/credential redaction in log entries</w:t>
      </w:r>
    </w:p>
    <w:p>
      <w:pPr>
        <w:pStyle w:val="ListParagraph"/>
        <w:numPr>
          <w:ilvl w:val="0"/>
          <w:numId w:val="2"/>
        </w:numPr>
        <w:spacing w:after="100" w:line="280"/>
      </w:pPr>
      <w:r>
        <w:rPr>
          <w:rFonts w:ascii="Arial" w:cs="Arial" w:eastAsia="Arial" w:hAnsi="Arial"/>
          <w:color w:val="333333"/>
          <w:sz w:val="22"/>
          <w:szCs w:val="22"/>
        </w:rPr>
        <w:t xml:space="preserve">Add rate limiting and timeout-based default-deny on approval flows</w:t>
      </w:r>
    </w:p>
    <w:p>
      <w:pPr>
        <w:pStyle w:val="ListParagraph"/>
        <w:numPr>
          <w:ilvl w:val="0"/>
          <w:numId w:val="2"/>
        </w:numPr>
        <w:spacing w:after="100" w:line="280"/>
      </w:pPr>
      <w:r>
        <w:rPr>
          <w:rFonts w:ascii="Arial" w:cs="Arial" w:eastAsia="Arial" w:hAnsi="Arial"/>
          <w:color w:val="333333"/>
          <w:sz w:val="22"/>
          <w:szCs w:val="22"/>
        </w:rPr>
        <w:t xml:space="preserve">Restrict log access to authenticated administrative sessions</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2–4 days</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13. References</w:t>
      </w:r>
    </w:p>
    <w:p>
      <w:pPr>
        <w:spacing w:after="160" w:line="300"/>
      </w:pPr>
      <w:r>
        <w:rPr>
          <w:rFonts w:ascii="Arial" w:cs="Arial" w:eastAsia="Arial" w:hAnsi="Arial"/>
          <w:i/>
          <w:iCs/>
          <w:color w:val="666666"/>
          <w:sz w:val="22"/>
          <w:szCs w:val="22"/>
        </w:rPr>
        <w:t xml:space="preserve">Research Papers and Academic Sources</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Debenedetti, E. et al. (2025). “Defeating Prompt Injections by Design.” Google DeepMind / ETH Zurich. arXiv:2503.18813. [CaMeL framework]</w:t>
      </w:r>
    </w:p>
    <w:p>
      <w:pPr>
        <w:pStyle w:val="ListParagraph"/>
        <w:numPr>
          <w:ilvl w:val="0"/>
          <w:numId w:val="2"/>
        </w:numPr>
        <w:spacing w:after="100" w:line="280"/>
      </w:pPr>
      <w:r>
        <w:rPr>
          <w:rFonts w:ascii="Arial" w:cs="Arial" w:eastAsia="Arial" w:hAnsi="Arial"/>
          <w:color w:val="333333"/>
          <w:sz w:val="22"/>
          <w:szCs w:val="22"/>
        </w:rPr>
        <w:t xml:space="preserve">Bhagwatkar et al. (2025). “Indirect Prompt Injections: Are Firewalls All You Need, or Stronger Benchmarks?” arXiv:2510.05244. [Minimize &amp; Sanitize pattern]</w:t>
      </w:r>
    </w:p>
    <w:p>
      <w:pPr>
        <w:pStyle w:val="ListParagraph"/>
        <w:numPr>
          <w:ilvl w:val="0"/>
          <w:numId w:val="2"/>
        </w:numPr>
        <w:spacing w:after="100" w:line="280"/>
      </w:pPr>
      <w:r>
        <w:rPr>
          <w:rFonts w:ascii="Arial" w:cs="Arial" w:eastAsia="Arial" w:hAnsi="Arial"/>
          <w:color w:val="333333"/>
          <w:sz w:val="22"/>
          <w:szCs w:val="22"/>
        </w:rPr>
        <w:t xml:space="preserve">Wang, Z. et al. (2025). “MCPTox: A Benchmark for Tool Poisoning Attack on Real-World MCP Servers.” arXiv:2508.14925.</w:t>
      </w:r>
    </w:p>
    <w:p>
      <w:pPr>
        <w:pStyle w:val="ListParagraph"/>
        <w:numPr>
          <w:ilvl w:val="0"/>
          <w:numId w:val="2"/>
        </w:numPr>
        <w:spacing w:after="100" w:line="280"/>
      </w:pPr>
      <w:r>
        <w:rPr>
          <w:rFonts w:ascii="Arial" w:cs="Arial" w:eastAsia="Arial" w:hAnsi="Arial"/>
          <w:color w:val="333333"/>
          <w:sz w:val="22"/>
          <w:szCs w:val="22"/>
        </w:rPr>
        <w:t xml:space="preserve">Dong et al. (2025). “MINJA: A Practical Memory Injection Attack against LLM Agents.” NeurIPS 2025.</w:t>
      </w:r>
    </w:p>
    <w:p>
      <w:pPr>
        <w:pStyle w:val="ListParagraph"/>
        <w:numPr>
          <w:ilvl w:val="0"/>
          <w:numId w:val="2"/>
        </w:numPr>
        <w:spacing w:after="100" w:line="280"/>
      </w:pPr>
      <w:r>
        <w:rPr>
          <w:rFonts w:ascii="Arial" w:cs="Arial" w:eastAsia="Arial" w:hAnsi="Arial"/>
          <w:color w:val="333333"/>
          <w:sz w:val="22"/>
          <w:szCs w:val="22"/>
        </w:rPr>
        <w:t xml:space="preserve">Debenedetti et al. (2024). “AgentDojo: A Dynamic Environment to Evaluate Attacks and Defenses for LLM Agents.” NeurIPS 2024.</w:t>
      </w:r>
    </w:p>
    <w:p>
      <w:pPr>
        <w:pStyle w:val="ListParagraph"/>
        <w:numPr>
          <w:ilvl w:val="0"/>
          <w:numId w:val="2"/>
        </w:numPr>
        <w:spacing w:after="100" w:line="280"/>
      </w:pPr>
      <w:r>
        <w:rPr>
          <w:rFonts w:ascii="Arial" w:cs="Arial" w:eastAsia="Arial" w:hAnsi="Arial"/>
          <w:color w:val="333333"/>
          <w:sz w:val="22"/>
          <w:szCs w:val="22"/>
        </w:rPr>
        <w:t xml:space="preserve">Nasr, M. et al. (2025). “The Attacker Moves Second.” arXiv:2510.09023. [Joint OpenAI/Anthropic/DeepMind research]</w:t>
      </w:r>
    </w:p>
    <w:p>
      <w:pPr>
        <w:pStyle w:val="ListParagraph"/>
        <w:numPr>
          <w:ilvl w:val="0"/>
          <w:numId w:val="2"/>
        </w:numPr>
        <w:spacing w:after="100" w:line="280"/>
      </w:pPr>
      <w:r>
        <w:rPr>
          <w:rFonts w:ascii="Arial" w:cs="Arial" w:eastAsia="Arial" w:hAnsi="Arial"/>
          <w:color w:val="333333"/>
          <w:sz w:val="22"/>
          <w:szCs w:val="22"/>
        </w:rPr>
        <w:t xml:space="preserve">MDPI (2026). “Prompt Injection Attacks in Large Language Models and AI Agent Systems: A Comprehensive Review.” Informatics 17(1):54.</w:t>
      </w:r>
    </w:p>
    <w:p>
      <w:pPr>
        <w:pStyle w:val="ListParagraph"/>
        <w:numPr>
          <w:ilvl w:val="0"/>
          <w:numId w:val="2"/>
        </w:numPr>
        <w:spacing w:after="100" w:line="280"/>
      </w:pPr>
      <w:r>
        <w:rPr>
          <w:rFonts w:ascii="Arial" w:cs="Arial" w:eastAsia="Arial" w:hAnsi="Arial"/>
          <w:color w:val="333333"/>
          <w:sz w:val="22"/>
          <w:szCs w:val="22"/>
        </w:rPr>
        <w:t xml:space="preserve">arXiv (2026). “Prompt Injection Attacks on Agentic Coding Assistants: A Systematic Analysis.” arXiv:2601.17548. [78 studies meta-analysis]</w:t>
      </w:r>
    </w:p>
    <w:p>
      <w:pPr>
        <w:pStyle w:val="ListParagraph"/>
        <w:numPr>
          <w:ilvl w:val="0"/>
          <w:numId w:val="2"/>
        </w:numPr>
        <w:spacing w:after="100" w:line="280"/>
      </w:pPr>
      <w:r>
        <w:rPr>
          <w:rFonts w:ascii="Arial" w:cs="Arial" w:eastAsia="Arial" w:hAnsi="Arial"/>
          <w:color w:val="333333"/>
          <w:sz w:val="22"/>
          <w:szCs w:val="22"/>
        </w:rPr>
        <w:t xml:space="preserve">arXiv (2025). “Your AI, My Shell: Demystifying Prompt Injection Attacks on Agentic AI Coding Editors.” arXiv:2509.22040. [AIShellJack framework]</w:t>
      </w:r>
    </w:p>
    <w:p>
      <w:pPr>
        <w:pStyle w:val="ListParagraph"/>
        <w:numPr>
          <w:ilvl w:val="0"/>
          <w:numId w:val="2"/>
        </w:numPr>
        <w:spacing w:after="100" w:line="280"/>
      </w:pPr>
      <w:r>
        <w:rPr>
          <w:rFonts w:ascii="Arial" w:cs="Arial" w:eastAsia="Arial" w:hAnsi="Arial"/>
          <w:color w:val="333333"/>
          <w:sz w:val="22"/>
          <w:szCs w:val="22"/>
        </w:rPr>
        <w:t xml:space="preserve">arXiv (2026). “Agentic AI as a Cybersecurity Attack Surface: Threats, Exploits, and Defenses in Runtime Supply Chains.” arXiv:2602.19555. [Viral Agent Loops]</w:t>
      </w:r>
    </w:p>
    <w:p>
      <w:pPr>
        <w:pStyle w:val="ListParagraph"/>
        <w:numPr>
          <w:ilvl w:val="0"/>
          <w:numId w:val="2"/>
        </w:numPr>
        <w:spacing w:after="100" w:line="280"/>
      </w:pPr>
      <w:r>
        <w:rPr>
          <w:rFonts w:ascii="Arial" w:cs="Arial" w:eastAsia="Arial" w:hAnsi="Arial"/>
          <w:color w:val="333333"/>
          <w:sz w:val="22"/>
          <w:szCs w:val="22"/>
        </w:rPr>
        <w:t xml:space="preserve">arXiv (2025). “Agentic AI Security: Threats, Defenses, Evaluation, and Open Challenges.” arXiv:2510.23883.</w:t>
      </w:r>
    </w:p>
    <w:p>
      <w:pPr>
        <w:pStyle w:val="ListParagraph"/>
        <w:numPr>
          <w:ilvl w:val="0"/>
          <w:numId w:val="2"/>
        </w:numPr>
        <w:spacing w:after="100" w:line="280"/>
      </w:pPr>
      <w:r>
        <w:rPr>
          <w:rFonts w:ascii="Arial" w:cs="Arial" w:eastAsia="Arial" w:hAnsi="Arial"/>
          <w:color w:val="333333"/>
          <w:sz w:val="22"/>
          <w:szCs w:val="22"/>
        </w:rPr>
        <w:t xml:space="preserve">ScienceDirect (2025). “From prompt injections to protocol exploits: Threats in LLM-powered AI agents workflows.”</w:t>
      </w:r>
    </w:p>
    <w:p>
      <w:pPr>
        <w:pStyle w:val="ListParagraph"/>
        <w:numPr>
          <w:ilvl w:val="0"/>
          <w:numId w:val="2"/>
        </w:numPr>
        <w:spacing w:after="100" w:line="280"/>
      </w:pPr>
      <w:r>
        <w:rPr>
          <w:rFonts w:ascii="Arial" w:cs="Arial" w:eastAsia="Arial" w:hAnsi="Arial"/>
          <w:color w:val="333333"/>
          <w:sz w:val="22"/>
          <w:szCs w:val="22"/>
        </w:rPr>
        <w:t xml:space="preserve">SuperLocalMemory (2026). “Privacy-Preserving Multi-Agent Memory with Bayesian Trust Defense Against Memory Poisoning.” arXiv:2603.02240.</w:t>
      </w:r>
    </w:p>
    <w:p>
      <w:pPr>
        <w:pStyle w:val="ListParagraph"/>
        <w:numPr>
          <w:ilvl w:val="0"/>
          <w:numId w:val="2"/>
        </w:numPr>
        <w:spacing w:after="100" w:line="280"/>
      </w:pPr>
      <w:r>
        <w:rPr>
          <w:rFonts w:ascii="Arial" w:cs="Arial" w:eastAsia="Arial" w:hAnsi="Arial"/>
          <w:color w:val="333333"/>
          <w:sz w:val="22"/>
          <w:szCs w:val="22"/>
        </w:rPr>
        <w:t xml:space="preserve">Sunil, B.D. et al. (2026). “Memory Poisoning Attack and Defense on Memory Based LLM-Agents.” arXiv:2601.05504.</w:t>
      </w:r>
    </w:p>
    <w:p>
      <w:pPr>
        <w:pStyle w:val="ListParagraph"/>
        <w:numPr>
          <w:ilvl w:val="0"/>
          <w:numId w:val="2"/>
        </w:numPr>
        <w:spacing w:after="100" w:line="280"/>
      </w:pPr>
      <w:r>
        <w:rPr>
          <w:rFonts w:ascii="Arial" w:cs="Arial" w:eastAsia="Arial" w:hAnsi="Arial"/>
          <w:color w:val="333333"/>
          <w:sz w:val="22"/>
          <w:szCs w:val="22"/>
        </w:rPr>
        <w:t xml:space="preserve">Abdelnabi, S. et al. (2025). “Firewalls to Secure Dynamic LLM Agentic Networks.” arXiv:2502.01822.</w:t>
      </w:r>
    </w:p>
    <w:p>
      <w:pPr>
        <w:spacing w:before="120" w:after="0"/>
      </w:pPr>
    </w:p>
    <w:p>
      <w:pPr>
        <w:spacing w:after="160" w:line="300"/>
      </w:pPr>
      <w:r>
        <w:rPr>
          <w:rFonts w:ascii="Arial" w:cs="Arial" w:eastAsia="Arial" w:hAnsi="Arial"/>
          <w:i/>
          <w:iCs/>
          <w:color w:val="666666"/>
          <w:sz w:val="22"/>
          <w:szCs w:val="22"/>
        </w:rPr>
        <w:t xml:space="preserve">Industry Reports and Security Advisories</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OWASP (2025). Top 10 for LLM Applications 2025. LLM01: Prompt Injection.</w:t>
      </w:r>
    </w:p>
    <w:p>
      <w:pPr>
        <w:pStyle w:val="ListParagraph"/>
        <w:numPr>
          <w:ilvl w:val="0"/>
          <w:numId w:val="2"/>
        </w:numPr>
        <w:spacing w:after="100" w:line="280"/>
      </w:pPr>
      <w:r>
        <w:rPr>
          <w:rFonts w:ascii="Arial" w:cs="Arial" w:eastAsia="Arial" w:hAnsi="Arial"/>
          <w:color w:val="333333"/>
          <w:sz w:val="22"/>
          <w:szCs w:val="22"/>
        </w:rPr>
        <w:t xml:space="preserve">OWASP (2025). MCP Top 10. MCP03: Tool Poisoning.</w:t>
      </w:r>
    </w:p>
    <w:p>
      <w:pPr>
        <w:pStyle w:val="ListParagraph"/>
        <w:numPr>
          <w:ilvl w:val="0"/>
          <w:numId w:val="2"/>
        </w:numPr>
        <w:spacing w:after="100" w:line="280"/>
      </w:pPr>
      <w:r>
        <w:rPr>
          <w:rFonts w:ascii="Arial" w:cs="Arial" w:eastAsia="Arial" w:hAnsi="Arial"/>
          <w:color w:val="333333"/>
          <w:sz w:val="22"/>
          <w:szCs w:val="22"/>
        </w:rPr>
        <w:t xml:space="preserve">OWASP (2026). Top 10 for Agentic Applications. ASI06: Memory &amp; Context Poisoning.</w:t>
      </w:r>
    </w:p>
    <w:p>
      <w:pPr>
        <w:pStyle w:val="ListParagraph"/>
        <w:numPr>
          <w:ilvl w:val="0"/>
          <w:numId w:val="2"/>
        </w:numPr>
        <w:spacing w:after="100" w:line="280"/>
      </w:pPr>
      <w:r>
        <w:rPr>
          <w:rFonts w:ascii="Arial" w:cs="Arial" w:eastAsia="Arial" w:hAnsi="Arial"/>
          <w:color w:val="333333"/>
          <w:sz w:val="22"/>
          <w:szCs w:val="22"/>
        </w:rPr>
        <w:t xml:space="preserve">Adversa AI (2025). “Top AI Security Incidents – 2025 Edition.”</w:t>
      </w:r>
    </w:p>
    <w:p>
      <w:pPr>
        <w:pStyle w:val="ListParagraph"/>
        <w:numPr>
          <w:ilvl w:val="0"/>
          <w:numId w:val="2"/>
        </w:numPr>
        <w:spacing w:after="100" w:line="280"/>
      </w:pPr>
      <w:r>
        <w:rPr>
          <w:rFonts w:ascii="Arial" w:cs="Arial" w:eastAsia="Arial" w:hAnsi="Arial"/>
          <w:color w:val="333333"/>
          <w:sz w:val="22"/>
          <w:szCs w:val="22"/>
        </w:rPr>
        <w:t xml:space="preserve">Microsoft Security Blog (2026). “Manipulating AI memory for profit: The rise of AI Recommendation Poisoning.” February 2026.</w:t>
      </w:r>
    </w:p>
    <w:p>
      <w:pPr>
        <w:pStyle w:val="ListParagraph"/>
        <w:numPr>
          <w:ilvl w:val="0"/>
          <w:numId w:val="2"/>
        </w:numPr>
        <w:spacing w:after="100" w:line="280"/>
      </w:pPr>
      <w:r>
        <w:rPr>
          <w:rFonts w:ascii="Arial" w:cs="Arial" w:eastAsia="Arial" w:hAnsi="Arial"/>
          <w:color w:val="333333"/>
          <w:sz w:val="22"/>
          <w:szCs w:val="22"/>
        </w:rPr>
        <w:t xml:space="preserve">Obsidian Security (2026). “Prompt Injection Attacks: The Most Common AI Exploit in 2025.” January 2026.</w:t>
      </w:r>
    </w:p>
    <w:p>
      <w:pPr>
        <w:pStyle w:val="ListParagraph"/>
        <w:numPr>
          <w:ilvl w:val="0"/>
          <w:numId w:val="2"/>
        </w:numPr>
        <w:spacing w:after="100" w:line="280"/>
      </w:pPr>
      <w:r>
        <w:rPr>
          <w:rFonts w:ascii="Arial" w:cs="Arial" w:eastAsia="Arial" w:hAnsi="Arial"/>
          <w:color w:val="333333"/>
          <w:sz w:val="22"/>
          <w:szCs w:val="22"/>
        </w:rPr>
        <w:t xml:space="preserve">Invariant Labs (2025). “MCP Security Notification: Tool Poisoning Attacks.” April 2025.</w:t>
      </w:r>
    </w:p>
    <w:p>
      <w:pPr>
        <w:pStyle w:val="ListParagraph"/>
        <w:numPr>
          <w:ilvl w:val="0"/>
          <w:numId w:val="2"/>
        </w:numPr>
        <w:spacing w:after="100" w:line="280"/>
      </w:pPr>
      <w:r>
        <w:rPr>
          <w:rFonts w:ascii="Arial" w:cs="Arial" w:eastAsia="Arial" w:hAnsi="Arial"/>
          <w:color w:val="333333"/>
          <w:sz w:val="22"/>
          <w:szCs w:val="22"/>
        </w:rPr>
        <w:t xml:space="preserve">Elastic Security Labs (2025). “MCP Tools: Attack Vectors and Defense Recommendations.” September 2025.</w:t>
      </w:r>
    </w:p>
    <w:p>
      <w:pPr>
        <w:pStyle w:val="ListParagraph"/>
        <w:numPr>
          <w:ilvl w:val="0"/>
          <w:numId w:val="2"/>
        </w:numPr>
        <w:spacing w:after="100" w:line="280"/>
      </w:pPr>
      <w:r>
        <w:rPr>
          <w:rFonts w:ascii="Arial" w:cs="Arial" w:eastAsia="Arial" w:hAnsi="Arial"/>
          <w:color w:val="333333"/>
          <w:sz w:val="22"/>
          <w:szCs w:val="22"/>
        </w:rPr>
        <w:t xml:space="preserve">Docker (2025). “MCP Security Issues Threatening AI Infrastructure.” August 2025.</w:t>
      </w:r>
    </w:p>
    <w:p>
      <w:pPr>
        <w:pStyle w:val="ListParagraph"/>
        <w:numPr>
          <w:ilvl w:val="0"/>
          <w:numId w:val="2"/>
        </w:numPr>
        <w:spacing w:after="100" w:line="280"/>
      </w:pPr>
      <w:r>
        <w:rPr>
          <w:rFonts w:ascii="Arial" w:cs="Arial" w:eastAsia="Arial" w:hAnsi="Arial"/>
          <w:color w:val="333333"/>
          <w:sz w:val="22"/>
          <w:szCs w:val="22"/>
        </w:rPr>
        <w:t xml:space="preserve">Lakera (2025). “Indirect Prompt Injection: The Hidden Threat Breaking Modern AI Systems.”</w:t>
      </w:r>
    </w:p>
    <w:p>
      <w:pPr>
        <w:pStyle w:val="ListParagraph"/>
        <w:numPr>
          <w:ilvl w:val="0"/>
          <w:numId w:val="2"/>
        </w:numPr>
        <w:spacing w:after="100" w:line="280"/>
      </w:pPr>
      <w:r>
        <w:rPr>
          <w:rFonts w:ascii="Arial" w:cs="Arial" w:eastAsia="Arial" w:hAnsi="Arial"/>
          <w:color w:val="333333"/>
          <w:sz w:val="22"/>
          <w:szCs w:val="22"/>
        </w:rPr>
        <w:t xml:space="preserve">Lakera (2025). “The Year of the Agent: What Recent Attacks Revealed in Q4 2025.”</w:t>
      </w:r>
    </w:p>
    <w:p>
      <w:pPr>
        <w:pStyle w:val="ListParagraph"/>
        <w:numPr>
          <w:ilvl w:val="0"/>
          <w:numId w:val="2"/>
        </w:numPr>
        <w:spacing w:after="100" w:line="280"/>
      </w:pPr>
      <w:r>
        <w:rPr>
          <w:rFonts w:ascii="Arial" w:cs="Arial" w:eastAsia="Arial" w:hAnsi="Arial"/>
          <w:color w:val="333333"/>
          <w:sz w:val="22"/>
          <w:szCs w:val="22"/>
        </w:rPr>
        <w:t xml:space="preserve">Lakera (2026). “Agentic AI Threats: Memory Poisoning &amp; Long-Horizon Goal Hijacks.”</w:t>
      </w:r>
    </w:p>
    <w:p>
      <w:pPr>
        <w:pStyle w:val="ListParagraph"/>
        <w:numPr>
          <w:ilvl w:val="0"/>
          <w:numId w:val="2"/>
        </w:numPr>
        <w:spacing w:after="100" w:line="280"/>
      </w:pPr>
      <w:r>
        <w:rPr>
          <w:rFonts w:ascii="Arial" w:cs="Arial" w:eastAsia="Arial" w:hAnsi="Arial"/>
          <w:color w:val="333333"/>
          <w:sz w:val="22"/>
          <w:szCs w:val="22"/>
        </w:rPr>
        <w:t xml:space="preserve">Unit 42 / Palo Alto Networks (2025). “When AI Remembers Too Much.” October 2025.</w:t>
      </w:r>
    </w:p>
    <w:p>
      <w:pPr>
        <w:pStyle w:val="ListParagraph"/>
        <w:numPr>
          <w:ilvl w:val="0"/>
          <w:numId w:val="2"/>
        </w:numPr>
        <w:spacing w:after="100" w:line="280"/>
      </w:pPr>
      <w:r>
        <w:rPr>
          <w:rFonts w:ascii="Arial" w:cs="Arial" w:eastAsia="Arial" w:hAnsi="Arial"/>
          <w:color w:val="333333"/>
          <w:sz w:val="22"/>
          <w:szCs w:val="22"/>
        </w:rPr>
        <w:t xml:space="preserve">Stellar Cyber (2026). “Top Agentic AI Security Threats in Late 2026.”</w:t>
      </w:r>
    </w:p>
    <w:p>
      <w:pPr>
        <w:pStyle w:val="ListParagraph"/>
        <w:numPr>
          <w:ilvl w:val="0"/>
          <w:numId w:val="2"/>
        </w:numPr>
        <w:spacing w:after="100" w:line="280"/>
      </w:pPr>
      <w:r>
        <w:rPr>
          <w:rFonts w:ascii="Arial" w:cs="Arial" w:eastAsia="Arial" w:hAnsi="Arial"/>
          <w:color w:val="333333"/>
          <w:sz w:val="22"/>
          <w:szCs w:val="22"/>
        </w:rPr>
        <w:t xml:space="preserve">Cisco (2026). “The State of AI Security 2026.” Via Help Net Security, February 2026.</w:t>
      </w:r>
    </w:p>
    <w:p>
      <w:pPr>
        <w:pStyle w:val="ListParagraph"/>
        <w:numPr>
          <w:ilvl w:val="0"/>
          <w:numId w:val="2"/>
        </w:numPr>
        <w:spacing w:after="100" w:line="280"/>
      </w:pPr>
      <w:r>
        <w:rPr>
          <w:rFonts w:ascii="Arial" w:cs="Arial" w:eastAsia="Arial" w:hAnsi="Arial"/>
          <w:color w:val="333333"/>
          <w:sz w:val="22"/>
          <w:szCs w:val="22"/>
        </w:rPr>
        <w:t xml:space="preserve">CrowdStrike (2026). “2026 Global Threat Report.” February 2026. Via Repello AI.</w:t>
      </w:r>
    </w:p>
    <w:p>
      <w:pPr>
        <w:pStyle w:val="ListParagraph"/>
        <w:numPr>
          <w:ilvl w:val="0"/>
          <w:numId w:val="2"/>
        </w:numPr>
        <w:spacing w:after="100" w:line="280"/>
      </w:pPr>
      <w:r>
        <w:rPr>
          <w:rFonts w:ascii="Arial" w:cs="Arial" w:eastAsia="Arial" w:hAnsi="Arial"/>
          <w:color w:val="333333"/>
          <w:sz w:val="22"/>
          <w:szCs w:val="22"/>
        </w:rPr>
        <w:t xml:space="preserve">Repello AI (2026). “The Agentic AI Security Threat Landscape in 2026.” March 2026.</w:t>
      </w:r>
    </w:p>
    <w:p>
      <w:pPr>
        <w:pStyle w:val="ListParagraph"/>
        <w:numPr>
          <w:ilvl w:val="0"/>
          <w:numId w:val="2"/>
        </w:numPr>
        <w:spacing w:after="100" w:line="280"/>
      </w:pPr>
      <w:r>
        <w:rPr>
          <w:rFonts w:ascii="Arial" w:cs="Arial" w:eastAsia="Arial" w:hAnsi="Arial"/>
          <w:color w:val="333333"/>
          <w:sz w:val="22"/>
          <w:szCs w:val="22"/>
        </w:rPr>
        <w:t xml:space="preserve">Barracuda Networks (2026). “Agentic AI: The 2026 Threat Multiplier Reshaping Cyberattacks.” February 2026.</w:t>
      </w:r>
    </w:p>
    <w:p>
      <w:pPr>
        <w:spacing w:before="120" w:after="0"/>
      </w:pPr>
    </w:p>
    <w:p>
      <w:pPr>
        <w:spacing w:after="160" w:line="300"/>
      </w:pPr>
      <w:r>
        <w:rPr>
          <w:rFonts w:ascii="Arial" w:cs="Arial" w:eastAsia="Arial" w:hAnsi="Arial"/>
          <w:i/>
          <w:iCs/>
          <w:color w:val="666666"/>
          <w:sz w:val="22"/>
          <w:szCs w:val="22"/>
        </w:rPr>
        <w:t xml:space="preserve">Commentary and Analysis</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Willison, S. (2025). “CaMeL offers a promising new direction for mitigating prompt injection attacks.” April 2025.</w:t>
      </w:r>
    </w:p>
    <w:p>
      <w:pPr>
        <w:pStyle w:val="ListParagraph"/>
        <w:numPr>
          <w:ilvl w:val="0"/>
          <w:numId w:val="2"/>
        </w:numPr>
        <w:spacing w:after="100" w:line="280"/>
      </w:pPr>
      <w:r>
        <w:rPr>
          <w:rFonts w:ascii="Arial" w:cs="Arial" w:eastAsia="Arial" w:hAnsi="Arial"/>
          <w:color w:val="333333"/>
          <w:sz w:val="22"/>
          <w:szCs w:val="22"/>
        </w:rPr>
        <w:t xml:space="preserve">Schneier, B. (2025). “Applying Security Engineering to Prompt Injection Security.” April 2025.</w:t>
      </w:r>
    </w:p>
    <w:p>
      <w:pPr>
        <w:pStyle w:val="ListParagraph"/>
        <w:numPr>
          <w:ilvl w:val="0"/>
          <w:numId w:val="2"/>
        </w:numPr>
        <w:spacing w:after="100" w:line="280"/>
      </w:pPr>
      <w:r>
        <w:rPr>
          <w:rFonts w:ascii="Arial" w:cs="Arial" w:eastAsia="Arial" w:hAnsi="Arial"/>
          <w:color w:val="333333"/>
          <w:sz w:val="22"/>
          <w:szCs w:val="22"/>
        </w:rPr>
        <w:t xml:space="preserve">Schneider, C. (2026). “Memory poisoning in AI agents: exploits that wait.” February 2026.</w:t>
      </w:r>
    </w:p>
    <w:p>
      <w:pPr>
        <w:pStyle w:val="ListParagraph"/>
        <w:numPr>
          <w:ilvl w:val="0"/>
          <w:numId w:val="2"/>
        </w:numPr>
        <w:spacing w:after="100" w:line="280"/>
      </w:pPr>
      <w:r>
        <w:rPr>
          <w:rFonts w:ascii="Arial" w:cs="Arial" w:eastAsia="Arial" w:hAnsi="Arial"/>
          <w:color w:val="333333"/>
          <w:sz w:val="22"/>
          <w:szCs w:val="22"/>
        </w:rPr>
        <w:t xml:space="preserve">OpenAI (2025). Blog post on Atlas browser security. December 2025.</w:t>
      </w:r>
    </w:p>
    <w:p>
      <w:pPr>
        <w:pStyle w:val="ListParagraph"/>
        <w:numPr>
          <w:ilvl w:val="0"/>
          <w:numId w:val="2"/>
        </w:numPr>
        <w:spacing w:after="100" w:line="280"/>
      </w:pPr>
      <w:r>
        <w:rPr>
          <w:rFonts w:ascii="Arial" w:cs="Arial" w:eastAsia="Arial" w:hAnsi="Arial"/>
          <w:color w:val="333333"/>
          <w:sz w:val="22"/>
          <w:szCs w:val="22"/>
        </w:rPr>
        <w:t xml:space="preserve">TechCrunch (2025). “OpenAI says AI browsers may always be vulnerable to prompt injection attacks.” December 2025.</w:t>
      </w:r>
    </w:p>
    <w:p>
      <w:pPr>
        <w:pStyle w:val="ListParagraph"/>
        <w:numPr>
          <w:ilvl w:val="0"/>
          <w:numId w:val="2"/>
        </w:numPr>
        <w:spacing w:after="100" w:line="280"/>
      </w:pPr>
      <w:r>
        <w:rPr>
          <w:rFonts w:ascii="Arial" w:cs="Arial" w:eastAsia="Arial" w:hAnsi="Arial"/>
          <w:color w:val="333333"/>
          <w:sz w:val="22"/>
          <w:szCs w:val="22"/>
        </w:rPr>
        <w:t xml:space="preserve">Fortune (2025). “OpenAI says prompt injections that can trick AI browsers may never be fully ‘solved.’” December 2025.</w:t>
      </w:r>
    </w:p>
    <w:p>
      <w:pPr>
        <w:pStyle w:val="ListParagraph"/>
        <w:numPr>
          <w:ilvl w:val="0"/>
          <w:numId w:val="2"/>
        </w:numPr>
        <w:spacing w:after="100" w:line="280"/>
      </w:pPr>
      <w:r>
        <w:rPr>
          <w:rFonts w:ascii="Arial" w:cs="Arial" w:eastAsia="Arial" w:hAnsi="Arial"/>
          <w:color w:val="333333"/>
          <w:sz w:val="22"/>
          <w:szCs w:val="22"/>
        </w:rPr>
        <w:t xml:space="preserve">IT Pro (2025). “OpenAI says prompt injection attacks are a serious threat for AI browsers.” December 2025.</w:t>
      </w:r>
    </w:p>
    <w:p>
      <w:pPr>
        <w:pStyle w:val="ListParagraph"/>
        <w:numPr>
          <w:ilvl w:val="0"/>
          <w:numId w:val="2"/>
        </w:numPr>
        <w:spacing w:after="100" w:line="280"/>
      </w:pPr>
      <w:r>
        <w:rPr>
          <w:rFonts w:ascii="Arial" w:cs="Arial" w:eastAsia="Arial" w:hAnsi="Arial"/>
          <w:color w:val="333333"/>
          <w:sz w:val="22"/>
          <w:szCs w:val="22"/>
        </w:rPr>
        <w:t xml:space="preserve">Help Net Security (2025). “A2AS framework targets prompt injection and agentic AI security risks.” October 2025.</w:t>
      </w:r>
    </w:p>
    <w:p>
      <w:pPr>
        <w:pStyle w:val="ListParagraph"/>
        <w:numPr>
          <w:ilvl w:val="0"/>
          <w:numId w:val="2"/>
        </w:numPr>
        <w:spacing w:after="100" w:line="280"/>
      </w:pPr>
      <w:r>
        <w:rPr>
          <w:rFonts w:ascii="Arial" w:cs="Arial" w:eastAsia="Arial" w:hAnsi="Arial"/>
          <w:color w:val="333333"/>
          <w:sz w:val="22"/>
          <w:szCs w:val="22"/>
        </w:rPr>
        <w:t xml:space="preserve">BudEcosystem (2025). “Reinventing Guardrails – Part 1.” October 2025.</w:t>
      </w:r>
    </w:p>
    <w:p>
      <w:pPr>
        <w:pStyle w:val="ListParagraph"/>
        <w:numPr>
          <w:ilvl w:val="0"/>
          <w:numId w:val="2"/>
        </w:numPr>
        <w:spacing w:after="100" w:line="280"/>
      </w:pPr>
      <w:r>
        <w:rPr>
          <w:rFonts w:ascii="Arial" w:cs="Arial" w:eastAsia="Arial" w:hAnsi="Arial"/>
          <w:color w:val="333333"/>
          <w:sz w:val="22"/>
          <w:szCs w:val="22"/>
        </w:rPr>
        <w:t xml:space="preserve">ByteBridge (2025). “The Need for a Credential Vault for AI Agents.” Medium, December 2025.</w:t>
      </w:r>
    </w:p>
    <w:p>
      <w:pPr>
        <w:pStyle w:val="ListParagraph"/>
        <w:numPr>
          <w:ilvl w:val="0"/>
          <w:numId w:val="2"/>
        </w:numPr>
        <w:spacing w:after="100" w:line="280"/>
      </w:pPr>
      <w:r>
        <w:rPr>
          <w:rFonts w:ascii="Arial" w:cs="Arial" w:eastAsia="Arial" w:hAnsi="Arial"/>
          <w:color w:val="333333"/>
          <w:sz w:val="22"/>
          <w:szCs w:val="22"/>
        </w:rPr>
        <w:t xml:space="preserve">DEV Community (2026). “Agentic Secrets Infrastructure: The Missing Layer in Every AI Agent Stack.” March 2026.</w:t>
      </w:r>
    </w:p>
    <w:p>
      <w:pPr>
        <w:spacing w:before="120" w:after="0"/>
      </w:pPr>
    </w:p>
    <w:p>
      <w:pPr>
        <w:spacing w:after="160" w:line="300"/>
      </w:pPr>
      <w:r>
        <w:rPr>
          <w:rFonts w:ascii="Arial" w:cs="Arial" w:eastAsia="Arial" w:hAnsi="Arial"/>
          <w:i/>
          <w:iCs/>
          <w:color w:val="666666"/>
          <w:sz w:val="22"/>
          <w:szCs w:val="22"/>
        </w:rPr>
        <w:t xml:space="preserve">Credential Management and Secrets Infrastructure</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HashiCorp (2025). “Secure AI agent authentication using HashiCorp Vault dynamic secrets.” Validated Pattern.</w:t>
      </w:r>
    </w:p>
    <w:p>
      <w:pPr>
        <w:pStyle w:val="ListParagraph"/>
        <w:numPr>
          <w:ilvl w:val="0"/>
          <w:numId w:val="2"/>
        </w:numPr>
        <w:spacing w:after="100" w:line="280"/>
      </w:pPr>
      <w:r>
        <w:rPr>
          <w:rFonts w:ascii="Arial" w:cs="Arial" w:eastAsia="Arial" w:hAnsi="Arial"/>
          <w:color w:val="333333"/>
          <w:sz w:val="22"/>
          <w:szCs w:val="22"/>
        </w:rPr>
        <w:t xml:space="preserve">HashiCorp (2025). “Secure AI identity with HashiCorp Vault.” Blog post.</w:t>
      </w:r>
    </w:p>
    <w:p>
      <w:pPr>
        <w:pStyle w:val="ListParagraph"/>
        <w:numPr>
          <w:ilvl w:val="0"/>
          <w:numId w:val="2"/>
        </w:numPr>
        <w:spacing w:after="100" w:line="280"/>
      </w:pPr>
      <w:r>
        <w:rPr>
          <w:rFonts w:ascii="Arial" w:cs="Arial" w:eastAsia="Arial" w:hAnsi="Arial"/>
          <w:color w:val="333333"/>
          <w:sz w:val="22"/>
          <w:szCs w:val="22"/>
        </w:rPr>
        <w:t xml:space="preserve">1Password (2025). “Secure Agentic AI: Authentication &amp; Access Control.”</w:t>
      </w:r>
    </w:p>
    <w:p>
      <w:pPr>
        <w:pStyle w:val="ListParagraph"/>
        <w:numPr>
          <w:ilvl w:val="0"/>
          <w:numId w:val="2"/>
        </w:numPr>
        <w:spacing w:after="100" w:line="280"/>
      </w:pPr>
      <w:r>
        <w:rPr>
          <w:rFonts w:ascii="Arial" w:cs="Arial" w:eastAsia="Arial" w:hAnsi="Arial"/>
          <w:color w:val="333333"/>
          <w:sz w:val="22"/>
          <w:szCs w:val="22"/>
        </w:rPr>
        <w:t xml:space="preserve">Keeper Security (2025). “Keeper Security Debuts Secure MCP AI Agent Integration for Secrets Management.” July 2025.</w:t>
      </w:r>
    </w:p>
    <w:p>
      <w:pPr>
        <w:pStyle w:val="ListParagraph"/>
        <w:numPr>
          <w:ilvl w:val="0"/>
          <w:numId w:val="2"/>
        </w:numPr>
        <w:spacing w:after="100" w:line="280"/>
      </w:pPr>
      <w:r>
        <w:rPr>
          <w:rFonts w:ascii="Arial" w:cs="Arial" w:eastAsia="Arial" w:hAnsi="Arial"/>
          <w:color w:val="333333"/>
          <w:sz w:val="22"/>
          <w:szCs w:val="22"/>
        </w:rPr>
        <w:t xml:space="preserve">Aembit (2025). “The Future of Secrets Management in the Era of Agentic AI.” October 2025.</w:t>
      </w:r>
    </w:p>
    <w:p>
      <w:pPr>
        <w:pStyle w:val="ListParagraph"/>
        <w:numPr>
          <w:ilvl w:val="0"/>
          <w:numId w:val="2"/>
        </w:numPr>
        <w:spacing w:after="100" w:line="280"/>
      </w:pPr>
      <w:r>
        <w:rPr>
          <w:rFonts w:ascii="Arial" w:cs="Arial" w:eastAsia="Arial" w:hAnsi="Arial"/>
          <w:color w:val="333333"/>
          <w:sz w:val="22"/>
          <w:szCs w:val="22"/>
        </w:rPr>
        <w:t xml:space="preserve">Fast.io (2025). “AI Agent Credential Vault: Secure Secrets Guide.”</w:t>
      </w:r>
    </w:p>
    <w:p>
      <w:pPr>
        <w:spacing w:before="120" w:after="0"/>
      </w:pPr>
    </w:p>
    <w:p>
      <w:pPr>
        <w:spacing w:after="160" w:line="300"/>
      </w:pPr>
      <w:r>
        <w:rPr>
          <w:rFonts w:ascii="Arial" w:cs="Arial" w:eastAsia="Arial" w:hAnsi="Arial"/>
          <w:i/>
          <w:iCs/>
          <w:color w:val="666666"/>
          <w:sz w:val="22"/>
          <w:szCs w:val="22"/>
        </w:rPr>
        <w:t xml:space="preserve">Tools and Frameworks</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Protect AI. LLM Guard. https://github.com/protectai/llm-guard</w:t>
      </w:r>
    </w:p>
    <w:p>
      <w:pPr>
        <w:pStyle w:val="ListParagraph"/>
        <w:numPr>
          <w:ilvl w:val="0"/>
          <w:numId w:val="2"/>
        </w:numPr>
        <w:spacing w:after="100" w:line="280"/>
      </w:pPr>
      <w:r>
        <w:rPr>
          <w:rFonts w:ascii="Arial" w:cs="Arial" w:eastAsia="Arial" w:hAnsi="Arial"/>
          <w:color w:val="333333"/>
          <w:sz w:val="22"/>
          <w:szCs w:val="22"/>
        </w:rPr>
        <w:t xml:space="preserve">Google Research. CaMeL. https://github.com/google-research/camel-prompt-injection</w:t>
      </w:r>
    </w:p>
    <w:p>
      <w:pPr>
        <w:pStyle w:val="ListParagraph"/>
        <w:numPr>
          <w:ilvl w:val="0"/>
          <w:numId w:val="2"/>
        </w:numPr>
        <w:spacing w:after="100" w:line="280"/>
      </w:pPr>
      <w:r>
        <w:rPr>
          <w:rFonts w:ascii="Arial" w:cs="Arial" w:eastAsia="Arial" w:hAnsi="Arial"/>
          <w:color w:val="333333"/>
          <w:sz w:val="22"/>
          <w:szCs w:val="22"/>
        </w:rPr>
        <w:t xml:space="preserve">Meta. Prompt Guard. https://github.com/meta-llama/PurpleLlama/tree/main/Prompt-Guard</w:t>
      </w:r>
    </w:p>
    <w:p>
      <w:pPr>
        <w:pStyle w:val="ListParagraph"/>
        <w:numPr>
          <w:ilvl w:val="0"/>
          <w:numId w:val="2"/>
        </w:numPr>
        <w:spacing w:after="100" w:line="280"/>
      </w:pPr>
      <w:r>
        <w:rPr>
          <w:rFonts w:ascii="Arial" w:cs="Arial" w:eastAsia="Arial" w:hAnsi="Arial"/>
          <w:color w:val="333333"/>
          <w:sz w:val="22"/>
          <w:szCs w:val="22"/>
        </w:rPr>
        <w:t xml:space="preserve">LangChain. LangGraph. https://github.com/langchain-ai/langgraph</w:t>
      </w:r>
    </w:p>
    <w:p>
      <w:pPr>
        <w:pStyle w:val="ListParagraph"/>
        <w:numPr>
          <w:ilvl w:val="0"/>
          <w:numId w:val="2"/>
        </w:numPr>
        <w:spacing w:after="100" w:line="280"/>
      </w:pPr>
      <w:r>
        <w:rPr>
          <w:rFonts w:ascii="Arial" w:cs="Arial" w:eastAsia="Arial" w:hAnsi="Arial"/>
          <w:color w:val="333333"/>
          <w:sz w:val="22"/>
          <w:szCs w:val="22"/>
        </w:rPr>
        <w:t xml:space="preserve">Apple. macOS Keychain Services. https://developer.apple.com/documentation/security/keychain_services</w:t>
      </w:r>
    </w:p>
    <w:p>
      <w:pPr>
        <w:spacing w:before="200" w:after="0"/>
      </w:pPr>
    </w:p>
    <w:p>
      <w:pPr>
        <w:jc w:val="center"/>
      </w:pPr>
      <w:r>
        <w:rPr>
          <w:rFonts w:ascii="Arial" w:cs="Arial" w:eastAsia="Arial" w:hAnsi="Arial"/>
          <w:i/>
          <w:iCs/>
          <w:color w:val="666666"/>
          <w:sz w:val="20"/>
          <w:szCs w:val="20"/>
        </w:rPr>
        <w:t xml:space="preserve">— End of Document —</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color w:val="666666"/>
        <w:sz w:val="18"/>
        <w:szCs w:val="18"/>
      </w:rPr>
      <w:t xml:space="preserve">Bayshore AI — Agentic AI Security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color w:val="666666"/>
        <w:sz w:val="18"/>
        <w:szCs w:val="18"/>
      </w:rPr>
      <w:t xml:space="preserve">Bayshore AI — Agentic AI Security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2026-03-08T21:15:13.781Z</dcterms:created>
  <dcterms:modified xsi:type="dcterms:W3CDTF">2026-03-08T21:15:13.781Z</dcterms:modified>
</cp:coreProperties>
</file>

<file path=docProps/custom.xml><?xml version="1.0" encoding="utf-8"?>
<Properties xmlns="http://schemas.openxmlformats.org/officeDocument/2006/custom-properties" xmlns:vt="http://schemas.openxmlformats.org/officeDocument/2006/docPropsVTypes"/>
</file>