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Evaluation of Supracardiac Venous Angioplasty and Stenting on Orthostatic Hypotension - The STANDUP Study</w:t>
      </w:r>
    </w:p>
    <w:p w:rsidR="00000000" w:rsidDel="00000000" w:rsidP="00000000" w:rsidRDefault="00000000" w:rsidRPr="00000000" w14:paraId="00000002">
      <w:pPr>
        <w:pStyle w:val="Heading1"/>
        <w:keepNext w:val="0"/>
        <w:keepLines w:val="0"/>
        <w:spacing w:before="48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Karthikeyan Arcot </w:t>
      </w:r>
      <w:r w:rsidDel="00000000" w:rsidR="00000000" w:rsidRPr="00000000">
        <w:rPr>
          <w:rFonts w:ascii="Georgia" w:cs="Georgia" w:eastAsia="Georgia" w:hAnsi="Georgia"/>
          <w:b w:val="1"/>
          <w:bCs w:val="1"/>
          <w:sz w:val="24"/>
          <w:szCs w:val="24"/>
          <w:vertAlign w:val="superscript"/>
          <w:rtl w:val="0"/>
        </w:rPr>
        <w:t xml:space="preserve">1,2</w:t>
      </w:r>
      <w:r w:rsidDel="00000000" w:rsidR="00000000" w:rsidRPr="00000000">
        <w:rPr>
          <w:rFonts w:ascii="Georgia" w:cs="Georgia" w:eastAsia="Georgia" w:hAnsi="Georgia"/>
          <w:sz w:val="24"/>
          <w:szCs w:val="24"/>
          <w:rtl w:val="0"/>
        </w:rPr>
        <w:t xml:space="preserve">, Julia Lin </w:t>
      </w:r>
      <w:r w:rsidDel="00000000" w:rsidR="00000000" w:rsidRPr="00000000">
        <w:rPr>
          <w:rFonts w:ascii="Georgia" w:cs="Georgia" w:eastAsia="Georgia" w:hAnsi="Georgia"/>
          <w:b w:val="1"/>
          <w:bCs w:val="1"/>
          <w:sz w:val="24"/>
          <w:szCs w:val="24"/>
          <w:vertAlign w:val="superscript"/>
          <w:rtl w:val="0"/>
        </w:rPr>
        <w:t xml:space="preserve">1,2</w:t>
      </w:r>
      <w:r w:rsidDel="00000000" w:rsidR="00000000" w:rsidRPr="00000000">
        <w:rPr>
          <w:rFonts w:ascii="Georgia" w:cs="Georgia" w:eastAsia="Georgia" w:hAnsi="Georgia"/>
          <w:sz w:val="24"/>
          <w:szCs w:val="24"/>
          <w:rtl w:val="0"/>
        </w:rPr>
        <w:t xml:space="preserve">, Sophia DeRosa </w:t>
      </w:r>
      <w:r w:rsidDel="00000000" w:rsidR="00000000" w:rsidRPr="00000000">
        <w:rPr>
          <w:rFonts w:ascii="Georgia" w:cs="Georgia" w:eastAsia="Georgia" w:hAnsi="Georgia"/>
          <w:b w:val="1"/>
          <w:bCs w:val="1"/>
          <w:sz w:val="24"/>
          <w:szCs w:val="24"/>
          <w:vertAlign w:val="superscript"/>
          <w:rtl w:val="0"/>
        </w:rPr>
        <w:t xml:space="preserve">3</w:t>
      </w:r>
      <w:r w:rsidDel="00000000" w:rsidR="00000000" w:rsidRPr="00000000">
        <w:rPr>
          <w:rFonts w:ascii="Georgia" w:cs="Georgia" w:eastAsia="Georgia" w:hAnsi="Georgia"/>
          <w:sz w:val="24"/>
          <w:szCs w:val="24"/>
          <w:rtl w:val="0"/>
        </w:rPr>
        <w:t xml:space="preserve">, Jeremy Liff </w:t>
      </w:r>
      <w:r w:rsidDel="00000000" w:rsidR="00000000" w:rsidRPr="00000000">
        <w:rPr>
          <w:rFonts w:ascii="Georgia" w:cs="Georgia" w:eastAsia="Georgia" w:hAnsi="Georgia"/>
          <w:b w:val="1"/>
          <w:bCs w:val="1"/>
          <w:sz w:val="24"/>
          <w:szCs w:val="24"/>
          <w:vertAlign w:val="superscript"/>
          <w:rtl w:val="0"/>
        </w:rPr>
        <w:t xml:space="preserve">1,2</w:t>
      </w:r>
      <w:r w:rsidDel="00000000" w:rsidR="00000000" w:rsidRPr="00000000">
        <w:rPr>
          <w:rFonts w:ascii="Georgia" w:cs="Georgia" w:eastAsia="Georgia" w:hAnsi="Georgia"/>
          <w:sz w:val="24"/>
          <w:szCs w:val="24"/>
          <w:rtl w:val="0"/>
        </w:rPr>
        <w:t xml:space="preserve">, Vincent DeOrchis </w:t>
      </w:r>
      <w:r w:rsidDel="00000000" w:rsidR="00000000" w:rsidRPr="00000000">
        <w:rPr>
          <w:rFonts w:ascii="Georgia" w:cs="Georgia" w:eastAsia="Georgia" w:hAnsi="Georgia"/>
          <w:b w:val="1"/>
          <w:bCs w:val="1"/>
          <w:sz w:val="24"/>
          <w:szCs w:val="24"/>
          <w:vertAlign w:val="superscript"/>
          <w:rtl w:val="0"/>
        </w:rPr>
        <w:t xml:space="preserve">2,4</w:t>
      </w:r>
      <w:r w:rsidDel="00000000" w:rsidR="00000000" w:rsidRPr="00000000">
        <w:rPr>
          <w:rFonts w:ascii="Georgia" w:cs="Georgia" w:eastAsia="Georgia" w:hAnsi="Georgia"/>
          <w:sz w:val="24"/>
          <w:szCs w:val="24"/>
          <w:rtl w:val="0"/>
        </w:rPr>
        <w:t xml:space="preserve">, Chander Sadasivan </w:t>
      </w:r>
      <w:r w:rsidDel="00000000" w:rsidR="00000000" w:rsidRPr="00000000">
        <w:rPr>
          <w:rFonts w:ascii="Georgia" w:cs="Georgia" w:eastAsia="Georgia" w:hAnsi="Georgia"/>
          <w:b w:val="1"/>
          <w:bCs w:val="1"/>
          <w:sz w:val="24"/>
          <w:szCs w:val="24"/>
          <w:vertAlign w:val="superscript"/>
          <w:rtl w:val="0"/>
        </w:rPr>
        <w:t xml:space="preserve">3</w:t>
      </w:r>
      <w:r w:rsidDel="00000000" w:rsidR="00000000" w:rsidRPr="00000000">
        <w:rPr>
          <w:rtl w:val="0"/>
        </w:rPr>
      </w:r>
    </w:p>
    <w:p w:rsidR="00000000" w:rsidDel="00000000" w:rsidP="00000000" w:rsidRDefault="00000000" w:rsidRPr="00000000" w14:paraId="00000003">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Interventional Neuro Associates</w:t>
      </w:r>
    </w:p>
    <w:p w:rsidR="00000000" w:rsidDel="00000000" w:rsidP="00000000" w:rsidRDefault="00000000" w:rsidRPr="00000000" w14:paraId="00000004">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 Francis Hospital, The Heart Center</w:t>
      </w:r>
    </w:p>
    <w:p w:rsidR="00000000" w:rsidDel="00000000" w:rsidP="00000000" w:rsidRDefault="00000000" w:rsidRPr="00000000" w14:paraId="00000005">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Stony Brook University</w:t>
      </w:r>
    </w:p>
    <w:p w:rsidR="00000000" w:rsidDel="00000000" w:rsidP="00000000" w:rsidRDefault="00000000" w:rsidRPr="00000000" w14:paraId="00000006">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Neurological Associates of Long Island</w:t>
      </w:r>
    </w:p>
    <w:p w:rsidR="00000000" w:rsidDel="00000000" w:rsidP="00000000" w:rsidRDefault="00000000" w:rsidRPr="00000000" w14:paraId="0000000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9">
      <w:pPr>
        <w:spacing w:after="12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FUNDING:</w:t>
      </w:r>
    </w:p>
    <w:p w:rsidR="00000000" w:rsidDel="00000000" w:rsidP="00000000" w:rsidRDefault="00000000" w:rsidRPr="00000000" w14:paraId="0000000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None</w:t>
      </w:r>
    </w:p>
    <w:p w:rsidR="00000000" w:rsidDel="00000000" w:rsidP="00000000" w:rsidRDefault="00000000" w:rsidRPr="00000000" w14:paraId="0000000B">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C">
      <w:pPr>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CLINICAL TRIAL REGISTRATION:</w:t>
      </w:r>
      <w:r w:rsidDel="00000000" w:rsidR="00000000" w:rsidRPr="00000000">
        <w:rPr>
          <w:rFonts w:ascii="Georgia" w:cs="Georgia" w:eastAsia="Georgia" w:hAnsi="Georgia"/>
          <w:sz w:val="24"/>
          <w:szCs w:val="24"/>
          <w:rtl w:val="0"/>
        </w:rPr>
        <w:t xml:space="preserve"> ClinicalTrials.gov Identifier: NCT07195903</w:t>
      </w:r>
    </w:p>
    <w:p w:rsidR="00000000" w:rsidDel="00000000" w:rsidP="00000000" w:rsidRDefault="00000000" w:rsidRPr="00000000" w14:paraId="0000000D">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E">
      <w:pPr>
        <w:spacing w:after="12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ACKNOWLEDGEMENT: </w:t>
      </w:r>
      <w:r w:rsidDel="00000000" w:rsidR="00000000" w:rsidRPr="00000000">
        <w:rPr>
          <w:rFonts w:ascii="Georgia" w:cs="Georgia" w:eastAsia="Georgia" w:hAnsi="Georgia"/>
          <w:sz w:val="24"/>
          <w:szCs w:val="24"/>
          <w:rtl w:val="0"/>
        </w:rPr>
        <w:t xml:space="preserve">The authors would like to express their deepest gratitude to the patients for their profound trust and participation in this study, without which this work would not have been possible. We also wish to thank the Institutional Review Board (IRB), the hospital administration, and our colleagues at St. Francis Hospital for their steadfast support, expert advice, and constant encouragement throughout the duration of this research.</w:t>
      </w:r>
    </w:p>
    <w:p w:rsidR="00000000" w:rsidDel="00000000" w:rsidP="00000000" w:rsidRDefault="00000000" w:rsidRPr="00000000" w14:paraId="0000000F">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0">
      <w:pPr>
        <w:spacing w:after="12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CONFLICTS OF INTEREST: </w:t>
      </w:r>
      <w:r w:rsidDel="00000000" w:rsidR="00000000" w:rsidRPr="00000000">
        <w:rPr>
          <w:rFonts w:ascii="Georgia" w:cs="Georgia" w:eastAsia="Georgia" w:hAnsi="Georgia"/>
          <w:sz w:val="24"/>
          <w:szCs w:val="24"/>
          <w:rtl w:val="0"/>
        </w:rPr>
        <w:t xml:space="preserve">The authors declare no conflicts of interest.</w:t>
      </w:r>
    </w:p>
    <w:p w:rsidR="00000000" w:rsidDel="00000000" w:rsidP="00000000" w:rsidRDefault="00000000" w:rsidRPr="00000000" w14:paraId="00000011">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2">
      <w:pPr>
        <w:spacing w:after="12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ETHICS APPROVAL: </w:t>
      </w:r>
      <w:r w:rsidDel="00000000" w:rsidR="00000000" w:rsidRPr="00000000">
        <w:rPr>
          <w:rFonts w:ascii="Georgia" w:cs="Georgia" w:eastAsia="Georgia" w:hAnsi="Georgia"/>
          <w:sz w:val="24"/>
          <w:szCs w:val="24"/>
          <w:rtl w:val="0"/>
        </w:rPr>
        <w:t xml:space="preserve">This study was approved by the Institutional Review Board (IRB) of St. Francis Hospital (Study ID: 25-01) and was conducted in accordance with the ethical standards of the institutional research committee and the 1964 Helsinki Declaration and its later amendments.</w:t>
      </w:r>
    </w:p>
    <w:p w:rsidR="00000000" w:rsidDel="00000000" w:rsidP="00000000" w:rsidRDefault="00000000" w:rsidRPr="00000000" w14:paraId="00000013">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4">
      <w:pPr>
        <w:spacing w:after="12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CONTRIBUTORSHIP STATEMENT: </w:t>
      </w:r>
    </w:p>
    <w:p w:rsidR="00000000" w:rsidDel="00000000" w:rsidP="00000000" w:rsidRDefault="00000000" w:rsidRPr="00000000" w14:paraId="00000015">
      <w:pPr>
        <w:spacing w:line="276"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Karthikeyan Arcot: Conceptualization, study design and manuscript preparation. </w:t>
      </w:r>
    </w:p>
    <w:p w:rsidR="00000000" w:rsidDel="00000000" w:rsidP="00000000" w:rsidRDefault="00000000" w:rsidRPr="00000000" w14:paraId="00000016">
      <w:pPr>
        <w:spacing w:line="276"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Julia Lin: Research assistance, data collection, and manuscript preparation. </w:t>
      </w:r>
    </w:p>
    <w:p w:rsidR="00000000" w:rsidDel="00000000" w:rsidP="00000000" w:rsidRDefault="00000000" w:rsidRPr="00000000" w14:paraId="00000017">
      <w:pPr>
        <w:spacing w:line="276"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Chander Sadasivan: Data analysis supervision, data analysis, results interpretation, and manuscript preparation.  </w:t>
      </w:r>
    </w:p>
    <w:p w:rsidR="00000000" w:rsidDel="00000000" w:rsidP="00000000" w:rsidRDefault="00000000" w:rsidRPr="00000000" w14:paraId="00000018">
      <w:pPr>
        <w:spacing w:line="276"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Sophia DeRosa: Data analysis and manuscript preparation. </w:t>
      </w:r>
    </w:p>
    <w:p w:rsidR="00000000" w:rsidDel="00000000" w:rsidP="00000000" w:rsidRDefault="00000000" w:rsidRPr="00000000" w14:paraId="00000019">
      <w:pPr>
        <w:spacing w:line="276"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Jeremy Liff: Clinical support, advisory role, and manuscript preparation. </w:t>
      </w:r>
    </w:p>
    <w:p w:rsidR="00000000" w:rsidDel="00000000" w:rsidP="00000000" w:rsidRDefault="00000000" w:rsidRPr="00000000" w14:paraId="0000001A">
      <w:pPr>
        <w:spacing w:line="276"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Vincent DeOrchis: Clinical support, advisory role, and manuscript preparation. </w:t>
      </w:r>
    </w:p>
    <w:p w:rsidR="00000000" w:rsidDel="00000000" w:rsidP="00000000" w:rsidRDefault="00000000" w:rsidRPr="00000000" w14:paraId="0000001B">
      <w:pPr>
        <w:spacing w:line="276"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authors have reviewed and approved the final manuscript.</w:t>
      </w:r>
    </w:p>
    <w:p w:rsidR="00000000" w:rsidDel="00000000" w:rsidP="00000000" w:rsidRDefault="00000000" w:rsidRPr="00000000" w14:paraId="0000001C">
      <w:pPr>
        <w:spacing w:after="12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1D">
      <w:pPr>
        <w:spacing w:after="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DATA AVAILABILITY STATEMENT</w:t>
      </w:r>
    </w:p>
    <w:p w:rsidR="00000000" w:rsidDel="00000000" w:rsidP="00000000" w:rsidRDefault="00000000" w:rsidRPr="00000000" w14:paraId="0000001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Data available upon reasonable request.</w:t>
      </w:r>
    </w:p>
    <w:p w:rsidR="00000000" w:rsidDel="00000000" w:rsidP="00000000" w:rsidRDefault="00000000" w:rsidRPr="00000000" w14:paraId="0000001F">
      <w:pPr>
        <w:rPr>
          <w:rFonts w:ascii="Georgia" w:cs="Georgia" w:eastAsia="Georgia" w:hAnsi="Georgi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Abstract</w:t>
      </w:r>
    </w:p>
    <w:p w:rsidR="00000000" w:rsidDel="00000000" w:rsidP="00000000" w:rsidRDefault="00000000" w:rsidRPr="00000000" w14:paraId="00000021">
      <w:pPr>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22">
      <w:pPr>
        <w:spacing w:after="12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Background: </w:t>
      </w:r>
      <w:r w:rsidDel="00000000" w:rsidR="00000000" w:rsidRPr="00000000">
        <w:rPr>
          <w:rFonts w:ascii="Georgia" w:cs="Georgia" w:eastAsia="Georgia" w:hAnsi="Georgia"/>
          <w:sz w:val="24"/>
          <w:szCs w:val="24"/>
          <w:rtl w:val="0"/>
        </w:rPr>
        <w:t xml:space="preserve">Orthostatic hypotension (OH) is a debilitating disorder often refractory to standard pharmacological therapies. We investigated the clinical, pharmacologic, and physiologic outcomes of supracardiac venous angioplasty and stenting in patients with severe OH.</w:t>
      </w:r>
    </w:p>
    <w:p w:rsidR="00000000" w:rsidDel="00000000" w:rsidP="00000000" w:rsidRDefault="00000000" w:rsidRPr="00000000" w14:paraId="00000023">
      <w:pPr>
        <w:spacing w:after="12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Methods:</w:t>
      </w:r>
      <w:r w:rsidDel="00000000" w:rsidR="00000000" w:rsidRPr="00000000">
        <w:rPr>
          <w:rFonts w:ascii="Georgia" w:cs="Georgia" w:eastAsia="Georgia" w:hAnsi="Georgia"/>
          <w:sz w:val="24"/>
          <w:szCs w:val="24"/>
          <w:rtl w:val="0"/>
        </w:rPr>
        <w:t xml:space="preserve"> This prospective, single-arm clinical investigation </w:t>
      </w:r>
      <w:r w:rsidDel="00000000" w:rsidR="00000000" w:rsidRPr="00000000">
        <w:rPr>
          <w:rFonts w:ascii="Georgia" w:cs="Georgia" w:eastAsia="Georgia" w:hAnsi="Georgia"/>
          <w:sz w:val="24"/>
          <w:szCs w:val="24"/>
          <w:rtl w:val="0"/>
        </w:rPr>
        <w:t xml:space="preserve">(ClinicalTrials.gov, NCT07195903)</w:t>
      </w:r>
      <w:r w:rsidDel="00000000" w:rsidR="00000000" w:rsidRPr="00000000">
        <w:rPr>
          <w:rFonts w:ascii="Georgia" w:cs="Georgia" w:eastAsia="Georgia" w:hAnsi="Georgia"/>
          <w:sz w:val="24"/>
          <w:szCs w:val="24"/>
          <w:rtl w:val="0"/>
        </w:rPr>
        <w:t xml:space="preserve"> included 52 patients with OH refractory to medical management. Patients underwent endovascular evaluation followed by supracardiac venous angioplasty and/or stenting. Primary outcomes were the change in orthostatic systolic blood pressure (SBP) drop, total midodrine-equivalent (MEQ) dose, and Clinical Global Impression–Improvement (CGI-I) scale. Angiographic outcomes were assessed using contrast time-density curve (TDC) parameters. Safety outcomes, including procedure-related mortality, intra-procedural device related failures, and major adverse events were systematically monitored. </w:t>
      </w:r>
    </w:p>
    <w:p w:rsidR="00000000" w:rsidDel="00000000" w:rsidP="00000000" w:rsidRDefault="00000000" w:rsidRPr="00000000" w14:paraId="00000024">
      <w:pPr>
        <w:spacing w:after="12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Results: </w:t>
      </w:r>
      <w:sdt>
        <w:sdtPr>
          <w:id w:val="1022708281"/>
          <w:tag w:val="goog_rdk_0"/>
        </w:sdtPr>
        <w:sdtContent>
          <w:r w:rsidDel="00000000" w:rsidR="00000000" w:rsidRPr="00000000">
            <w:rPr>
              <w:rFonts w:ascii="Gungsuh" w:cs="Gungsuh" w:eastAsia="Gungsuh" w:hAnsi="Gungsuh"/>
              <w:sz w:val="24"/>
              <w:szCs w:val="24"/>
              <w:rtl w:val="0"/>
            </w:rPr>
            <w:t xml:space="preserve">Orthostatic systolic blood pressure regulation improved significantly, with the mean SBP drop reducing from 36.2 ± 21.9 mmHg to 26.3 ± 19.1 mmHg (p=0.0007). Among patients receiving vasoactive therapy at baseline (n = 24), the mean medication burden decreased by 68.0% (p &lt; 0.0001), with 45.8% (n = 11) achieving complete medication independence. Clinically meaningful improvement (CGI-I ≤ 2) was observed in 61.2% of patients. Multivariate analysis showed that a combination of TDC parameters and SBP drop had a predictive trend for clinical improvement. One</w:t>
          </w:r>
        </w:sdtContent>
      </w:sdt>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rtl w:val="0"/>
        </w:rPr>
        <w:t xml:space="preserve">major adverse event (1.9%) directly related to the intervention occurred, with no procedural mortality.</w:t>
      </w:r>
    </w:p>
    <w:p w:rsidR="00000000" w:rsidDel="00000000" w:rsidP="00000000" w:rsidRDefault="00000000" w:rsidRPr="00000000" w14:paraId="00000025">
      <w:pPr>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Conclusions:</w:t>
      </w:r>
      <w:r w:rsidDel="00000000" w:rsidR="00000000" w:rsidRPr="00000000">
        <w:rPr>
          <w:rFonts w:ascii="Georgia" w:cs="Georgia" w:eastAsia="Georgia" w:hAnsi="Georgia"/>
          <w:sz w:val="24"/>
          <w:szCs w:val="24"/>
          <w:rtl w:val="0"/>
        </w:rPr>
        <w:t xml:space="preserve"> Supracardiac venous angioplasty and stenting is a safe, low risk procedure associated with significant improvements in orthostatic hemodynamics, medication dependence, and clinical symptoms. Supracardiac venous outflow obstruction represents a clinically relevant and modifiable contributor to refractory orthostatic syndromes.</w:t>
      </w:r>
    </w:p>
    <w:p w:rsidR="00000000" w:rsidDel="00000000" w:rsidP="00000000" w:rsidRDefault="00000000" w:rsidRPr="00000000" w14:paraId="00000026">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7">
      <w:pPr>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Key Messages</w:t>
      </w:r>
    </w:p>
    <w:p w:rsidR="00000000" w:rsidDel="00000000" w:rsidP="00000000" w:rsidRDefault="00000000" w:rsidRPr="00000000" w14:paraId="00000028">
      <w:pPr>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29">
      <w:pPr>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What is already known on this topic</w:t>
      </w:r>
    </w:p>
    <w:p w:rsidR="00000000" w:rsidDel="00000000" w:rsidP="00000000" w:rsidRDefault="00000000" w:rsidRPr="00000000" w14:paraId="0000002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Orthostatic hypotension is a debilitating disorder that is frequently refractory to current pharmacological interventions, which primarily target downstream hemodynamics rather than addressing the underlying upstream regulatory dysfunction.</w:t>
      </w:r>
    </w:p>
    <w:p w:rsidR="00000000" w:rsidDel="00000000" w:rsidP="00000000" w:rsidRDefault="00000000" w:rsidRPr="00000000" w14:paraId="0000002B">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C">
      <w:pPr>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What this study adds</w:t>
      </w:r>
    </w:p>
    <w:p w:rsidR="00000000" w:rsidDel="00000000" w:rsidP="00000000" w:rsidRDefault="00000000" w:rsidRPr="00000000" w14:paraId="0000002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 identifying supracardiac venous outflow obstruction as a modifiable contributor to orthostatic hypotension, this study demonstrates that venous angioplasty and stenting can significantly reduce blood pressure drops in patients with orthostatic hypotension.</w:t>
      </w:r>
    </w:p>
    <w:p w:rsidR="00000000" w:rsidDel="00000000" w:rsidP="00000000" w:rsidRDefault="00000000" w:rsidRPr="00000000" w14:paraId="0000002E">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F">
      <w:pPr>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How this study might affect research, practice or policy</w:t>
      </w:r>
    </w:p>
    <w:p w:rsidR="00000000" w:rsidDel="00000000" w:rsidP="00000000" w:rsidRDefault="00000000" w:rsidRPr="00000000" w14:paraId="0000003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findings suggest that endovascular restoration of venous outflow may offer a novel, safe and effective therapeutic option for refractory orthostatic hypotension, potentially introducing time-density curve (TDC) parameters as reliable quantitative endpoints for intraprocedural success.</w:t>
      </w:r>
    </w:p>
    <w:p w:rsidR="00000000" w:rsidDel="00000000" w:rsidP="00000000" w:rsidRDefault="00000000" w:rsidRPr="00000000" w14:paraId="00000031">
      <w:pPr>
        <w:pStyle w:val="Heading1"/>
        <w:keepNext w:val="0"/>
        <w:keepLines w:val="0"/>
        <w:spacing w:before="480" w:lineRule="auto"/>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Background</w:t>
      </w:r>
    </w:p>
    <w:p w:rsidR="00000000" w:rsidDel="00000000" w:rsidP="00000000" w:rsidRDefault="00000000" w:rsidRPr="00000000" w14:paraId="00000032">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Orthostatic hypotension (OH) is a prevalent and debilitating disorder characterized by impaired cardiovascular and autonomic adaptation to upright posture. OH, first described by Bradbury and Eggleston nearly a century ago </w:t>
      </w:r>
      <w:hyperlink r:id="rId7">
        <w:r w:rsidDel="00000000" w:rsidR="00000000" w:rsidRPr="00000000">
          <w:rPr>
            <w:rFonts w:ascii="Georgia" w:cs="Georgia" w:eastAsia="Georgia" w:hAnsi="Georgia"/>
            <w:sz w:val="24"/>
            <w:szCs w:val="24"/>
            <w:rtl w:val="0"/>
          </w:rPr>
          <w:t xml:space="preserve">(1)</w:t>
        </w:r>
      </w:hyperlink>
      <w:r w:rsidDel="00000000" w:rsidR="00000000" w:rsidRPr="00000000">
        <w:rPr>
          <w:rFonts w:ascii="Georgia" w:cs="Georgia" w:eastAsia="Georgia" w:hAnsi="Georgia"/>
          <w:sz w:val="24"/>
          <w:szCs w:val="24"/>
          <w:rtl w:val="0"/>
        </w:rPr>
        <w:t xml:space="preserve">, affects approximately 16–30% of adults over the age of 65 </w:t>
      </w:r>
      <w:hyperlink r:id="rId8">
        <w:r w:rsidDel="00000000" w:rsidR="00000000" w:rsidRPr="00000000">
          <w:rPr>
            <w:rFonts w:ascii="Georgia" w:cs="Georgia" w:eastAsia="Georgia" w:hAnsi="Georgia"/>
            <w:sz w:val="24"/>
            <w:szCs w:val="24"/>
            <w:rtl w:val="0"/>
          </w:rPr>
          <w:t xml:space="preserve">(2)</w:t>
        </w:r>
      </w:hyperlink>
      <w:r w:rsidDel="00000000" w:rsidR="00000000" w:rsidRPr="00000000">
        <w:rPr>
          <w:rFonts w:ascii="Georgia" w:cs="Georgia" w:eastAsia="Georgia" w:hAnsi="Georgia"/>
          <w:sz w:val="24"/>
          <w:szCs w:val="24"/>
          <w:rtl w:val="0"/>
        </w:rPr>
        <w:t xml:space="preserve"> and is associated with increased risks of falls, cardiovascular morbidity, stroke, cognitive impairment, atrial fibrillation, venous thromboembolism, chronic kidney disease, and all-cause mortality </w:t>
      </w:r>
      <w:hyperlink r:id="rId9">
        <w:r w:rsidDel="00000000" w:rsidR="00000000" w:rsidRPr="00000000">
          <w:rPr>
            <w:rFonts w:ascii="Georgia" w:cs="Georgia" w:eastAsia="Georgia" w:hAnsi="Georgia"/>
            <w:sz w:val="24"/>
            <w:szCs w:val="24"/>
            <w:rtl w:val="0"/>
          </w:rPr>
          <w:t xml:space="preserve">(3–6)</w:t>
        </w:r>
      </w:hyperlink>
      <w:r w:rsidDel="00000000" w:rsidR="00000000" w:rsidRPr="00000000">
        <w:rPr>
          <w:rFonts w:ascii="Georgia" w:cs="Georgia" w:eastAsia="Georgia" w:hAnsi="Georgia"/>
          <w:sz w:val="24"/>
          <w:szCs w:val="24"/>
          <w:rtl w:val="0"/>
        </w:rPr>
        <w:t xml:space="preserve">. OH is conventionally defined as a reduction in systolic blood pressure of at least 20 mmHg or diastolic blood pressure of at least 10 mmHg within three minutes of standing, whereas orthostatic intolerance encompasses a broader syndrome of upright intolerance marked by dizziness, presyncope, fatigue, visual disturbance, or syncope that improves with recumbency </w:t>
      </w:r>
      <w:hyperlink r:id="rId10">
        <w:r w:rsidDel="00000000" w:rsidR="00000000" w:rsidRPr="00000000">
          <w:rPr>
            <w:rFonts w:ascii="Georgia" w:cs="Georgia" w:eastAsia="Georgia" w:hAnsi="Georgia"/>
            <w:sz w:val="24"/>
            <w:szCs w:val="24"/>
            <w:rtl w:val="0"/>
          </w:rPr>
          <w:t xml:space="preserve">(7)</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33">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Despite the availability of multiple pharmacologic therapies, including midodrine, fludrocortisone, droxidopa, and pyridostigmine, many patients remain symptomatic or experience dose-limiting adverse effects </w:t>
      </w:r>
      <w:hyperlink r:id="rId11">
        <w:r w:rsidDel="00000000" w:rsidR="00000000" w:rsidRPr="00000000">
          <w:rPr>
            <w:rFonts w:ascii="Georgia" w:cs="Georgia" w:eastAsia="Georgia" w:hAnsi="Georgia"/>
            <w:sz w:val="24"/>
            <w:szCs w:val="24"/>
            <w:rtl w:val="0"/>
          </w:rPr>
          <w:t xml:space="preserve">(7)</w:t>
        </w:r>
      </w:hyperlink>
      <w:r w:rsidDel="00000000" w:rsidR="00000000" w:rsidRPr="00000000">
        <w:rPr>
          <w:rFonts w:ascii="Georgia" w:cs="Georgia" w:eastAsia="Georgia" w:hAnsi="Georgia"/>
          <w:sz w:val="24"/>
          <w:szCs w:val="24"/>
          <w:rtl w:val="0"/>
        </w:rPr>
        <w:t xml:space="preserve">. These agents are frequently associated with supine hypertension </w:t>
      </w:r>
      <w:hyperlink r:id="rId12">
        <w:r w:rsidDel="00000000" w:rsidR="00000000" w:rsidRPr="00000000">
          <w:rPr>
            <w:rFonts w:ascii="Georgia" w:cs="Georgia" w:eastAsia="Georgia" w:hAnsi="Georgia"/>
            <w:sz w:val="24"/>
            <w:szCs w:val="24"/>
            <w:rtl w:val="0"/>
          </w:rPr>
          <w:t xml:space="preserve">(8)</w:t>
        </w:r>
      </w:hyperlink>
      <w:r w:rsidDel="00000000" w:rsidR="00000000" w:rsidRPr="00000000">
        <w:rPr>
          <w:rFonts w:ascii="Georgia" w:cs="Georgia" w:eastAsia="Georgia" w:hAnsi="Georgia"/>
          <w:sz w:val="24"/>
          <w:szCs w:val="24"/>
          <w:rtl w:val="0"/>
        </w:rPr>
        <w:t xml:space="preserve">, urologic complications </w:t>
      </w:r>
      <w:hyperlink r:id="rId13">
        <w:r w:rsidDel="00000000" w:rsidR="00000000" w:rsidRPr="00000000">
          <w:rPr>
            <w:rFonts w:ascii="Georgia" w:cs="Georgia" w:eastAsia="Georgia" w:hAnsi="Georgia"/>
            <w:sz w:val="24"/>
            <w:szCs w:val="24"/>
            <w:rtl w:val="0"/>
          </w:rPr>
          <w:t xml:space="preserve">(9)</w:t>
        </w:r>
      </w:hyperlink>
      <w:r w:rsidDel="00000000" w:rsidR="00000000" w:rsidRPr="00000000">
        <w:rPr>
          <w:rFonts w:ascii="Georgia" w:cs="Georgia" w:eastAsia="Georgia" w:hAnsi="Georgia"/>
          <w:sz w:val="24"/>
          <w:szCs w:val="24"/>
          <w:rtl w:val="0"/>
        </w:rPr>
        <w:t xml:space="preserve">, electrolyte disturbances and metabolic alkalosis </w:t>
      </w:r>
      <w:hyperlink r:id="rId14">
        <w:r w:rsidDel="00000000" w:rsidR="00000000" w:rsidRPr="00000000">
          <w:rPr>
            <w:rFonts w:ascii="Georgia" w:cs="Georgia" w:eastAsia="Georgia" w:hAnsi="Georgia"/>
            <w:sz w:val="24"/>
            <w:szCs w:val="24"/>
            <w:rtl w:val="0"/>
          </w:rPr>
          <w:t xml:space="preserve">(10)</w:t>
        </w:r>
      </w:hyperlink>
      <w:r w:rsidDel="00000000" w:rsidR="00000000" w:rsidRPr="00000000">
        <w:rPr>
          <w:rFonts w:ascii="Georgia" w:cs="Georgia" w:eastAsia="Georgia" w:hAnsi="Georgia"/>
          <w:sz w:val="24"/>
          <w:szCs w:val="24"/>
          <w:rtl w:val="0"/>
        </w:rPr>
        <w:t xml:space="preserve">, exacerbation of heart failure </w:t>
      </w:r>
      <w:hyperlink r:id="rId15">
        <w:r w:rsidDel="00000000" w:rsidR="00000000" w:rsidRPr="00000000">
          <w:rPr>
            <w:rFonts w:ascii="Georgia" w:cs="Georgia" w:eastAsia="Georgia" w:hAnsi="Georgia"/>
            <w:sz w:val="24"/>
            <w:szCs w:val="24"/>
            <w:rtl w:val="0"/>
          </w:rPr>
          <w:t xml:space="preserve">(11)</w:t>
        </w:r>
      </w:hyperlink>
      <w:r w:rsidDel="00000000" w:rsidR="00000000" w:rsidRPr="00000000">
        <w:rPr>
          <w:rFonts w:ascii="Georgia" w:cs="Georgia" w:eastAsia="Georgia" w:hAnsi="Georgia"/>
          <w:sz w:val="24"/>
          <w:szCs w:val="24"/>
          <w:rtl w:val="0"/>
        </w:rPr>
        <w:t xml:space="preserve">, headaches, nausea, palpitations, fatigue, and muscle weakness </w:t>
      </w:r>
      <w:hyperlink r:id="rId16">
        <w:r w:rsidDel="00000000" w:rsidR="00000000" w:rsidRPr="00000000">
          <w:rPr>
            <w:rFonts w:ascii="Georgia" w:cs="Georgia" w:eastAsia="Georgia" w:hAnsi="Georgia"/>
            <w:sz w:val="24"/>
            <w:szCs w:val="24"/>
            <w:rtl w:val="0"/>
          </w:rPr>
          <w:t xml:space="preserve">(12,13)</w:t>
        </w:r>
      </w:hyperlink>
      <w:r w:rsidDel="00000000" w:rsidR="00000000" w:rsidRPr="00000000">
        <w:rPr>
          <w:rFonts w:ascii="Georgia" w:cs="Georgia" w:eastAsia="Georgia" w:hAnsi="Georgia"/>
          <w:sz w:val="24"/>
          <w:szCs w:val="24"/>
          <w:rtl w:val="0"/>
        </w:rPr>
        <w:t xml:space="preserve">. As a result, treatment often consists of escalating medication regimens that incompletely relieve symptoms while increasing medication burden and risk. Importantly, clinical improvement does not always parallel changes in measured blood pressure, suggesting that current therapeutic strategies may address downstream hemodynamic consequences without correcting upstream regulatory dysfunction.</w:t>
      </w:r>
    </w:p>
    <w:p w:rsidR="00000000" w:rsidDel="00000000" w:rsidP="00000000" w:rsidRDefault="00000000" w:rsidRPr="00000000" w14:paraId="00000034">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Maintenance of arterial pressure during postural change depends on coordinated cardiovascular, autonomic, and neurovascular mechanisms. Upon standing, gravitational pooling of more than 500 mL of blood within venous capacitance vessels and the splanchnic circulation reduces venous return and cardiac output, leading to a transient reduction in cerebral perfusion pressure </w:t>
      </w:r>
      <w:hyperlink r:id="rId17">
        <w:r w:rsidDel="00000000" w:rsidR="00000000" w:rsidRPr="00000000">
          <w:rPr>
            <w:rFonts w:ascii="Georgia" w:cs="Georgia" w:eastAsia="Georgia" w:hAnsi="Georgia"/>
            <w:sz w:val="24"/>
            <w:szCs w:val="24"/>
            <w:rtl w:val="0"/>
          </w:rPr>
          <w:t xml:space="preserve">(14,15)</w:t>
        </w:r>
      </w:hyperlink>
      <w:r w:rsidDel="00000000" w:rsidR="00000000" w:rsidRPr="00000000">
        <w:rPr>
          <w:rFonts w:ascii="Georgia" w:cs="Georgia" w:eastAsia="Georgia" w:hAnsi="Georgia"/>
          <w:sz w:val="24"/>
          <w:szCs w:val="24"/>
          <w:rtl w:val="0"/>
        </w:rPr>
        <w:t xml:space="preserve">. Under normal conditions, the vestibulo-sympathetic reflex </w:t>
      </w:r>
      <w:hyperlink r:id="rId18">
        <w:r w:rsidDel="00000000" w:rsidR="00000000" w:rsidRPr="00000000">
          <w:rPr>
            <w:rFonts w:ascii="Georgia" w:cs="Georgia" w:eastAsia="Georgia" w:hAnsi="Georgia"/>
            <w:sz w:val="24"/>
            <w:szCs w:val="24"/>
            <w:rtl w:val="0"/>
          </w:rPr>
          <w:t xml:space="preserve">(16)</w:t>
        </w:r>
      </w:hyperlink>
      <w:r w:rsidDel="00000000" w:rsidR="00000000" w:rsidRPr="00000000">
        <w:rPr>
          <w:rFonts w:ascii="Georgia" w:cs="Georgia" w:eastAsia="Georgia" w:hAnsi="Georgia"/>
          <w:sz w:val="24"/>
          <w:szCs w:val="24"/>
          <w:rtl w:val="0"/>
        </w:rPr>
        <w:t xml:space="preserve"> coordinates with the baroreflex (which involves afferent signaling from carotid and aortic mechanoreceptors to brainstem nuclei such as the nucleus tractus solitarius and ventrolateral medulla) and elicits sympathetic activation that affects vascular tone, venous capacitance, and heart rate </w:t>
      </w:r>
      <w:hyperlink r:id="rId19">
        <w:r w:rsidDel="00000000" w:rsidR="00000000" w:rsidRPr="00000000">
          <w:rPr>
            <w:rFonts w:ascii="Georgia" w:cs="Georgia" w:eastAsia="Georgia" w:hAnsi="Georgia"/>
            <w:sz w:val="24"/>
            <w:szCs w:val="24"/>
            <w:rtl w:val="0"/>
          </w:rPr>
          <w:t xml:space="preserve">(17)</w:t>
        </w:r>
      </w:hyperlink>
      <w:r w:rsidDel="00000000" w:rsidR="00000000" w:rsidRPr="00000000">
        <w:rPr>
          <w:rFonts w:ascii="Georgia" w:cs="Georgia" w:eastAsia="Georgia" w:hAnsi="Georgia"/>
          <w:sz w:val="24"/>
          <w:szCs w:val="24"/>
          <w:rtl w:val="0"/>
        </w:rPr>
        <w:t xml:space="preserve">. Effective orthostatic compensation therefore depends not only on intact neural signaling but also on adequate venous return and appropriate metabolic conditions within central vestibular and autonomic control centers.</w:t>
      </w:r>
    </w:p>
    <w:p w:rsidR="00000000" w:rsidDel="00000000" w:rsidP="00000000" w:rsidRDefault="00000000" w:rsidRPr="00000000" w14:paraId="00000035">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propose that supracardiac venous outflow impairment, particularly involving the internal jugular and brachiocephalic veins, may represent an underrecognized contributor to OH. Venous stenosis or valvular pathology may increase resistance to venous return, elevate upstream venous pressures, reduce metabolite clearance and impair preload. Effects that may be modest in the supine position yet become clinically significant during orthostatic stress </w:t>
      </w:r>
      <w:hyperlink r:id="rId20">
        <w:r w:rsidDel="00000000" w:rsidR="00000000" w:rsidRPr="00000000">
          <w:rPr>
            <w:rFonts w:ascii="Georgia" w:cs="Georgia" w:eastAsia="Georgia" w:hAnsi="Georgia"/>
            <w:sz w:val="24"/>
            <w:szCs w:val="24"/>
            <w:rtl w:val="0"/>
          </w:rPr>
          <w:t xml:space="preserve">(18)</w:t>
        </w:r>
      </w:hyperlink>
      <w:r w:rsidDel="00000000" w:rsidR="00000000" w:rsidRPr="00000000">
        <w:rPr>
          <w:rFonts w:ascii="Georgia" w:cs="Georgia" w:eastAsia="Georgia" w:hAnsi="Georgia"/>
          <w:sz w:val="24"/>
          <w:szCs w:val="24"/>
          <w:rtl w:val="0"/>
        </w:rPr>
        <w:t xml:space="preserve">. This framework provides a unifying explanation for refractory symptoms and intolerance of pharmacologic therapy.</w:t>
      </w:r>
    </w:p>
    <w:p w:rsidR="00000000" w:rsidDel="00000000" w:rsidP="00000000" w:rsidRDefault="00000000" w:rsidRPr="00000000" w14:paraId="00000036">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Preliminary clinical observations support these mechanistic hypotheses. In an initial case series of patients with severe, intractable OH, venographic evaluation identified supracardiac venous stenosis, and endovascular treatment was associated with improvements in orthostatic blood pressures </w:t>
      </w:r>
      <w:hyperlink r:id="rId21">
        <w:r w:rsidDel="00000000" w:rsidR="00000000" w:rsidRPr="00000000">
          <w:rPr>
            <w:rFonts w:ascii="Georgia" w:cs="Georgia" w:eastAsia="Georgia" w:hAnsi="Georgia"/>
            <w:sz w:val="24"/>
            <w:szCs w:val="24"/>
            <w:rtl w:val="0"/>
          </w:rPr>
          <w:t xml:space="preserve">(19)</w:t>
        </w:r>
      </w:hyperlink>
      <w:r w:rsidDel="00000000" w:rsidR="00000000" w:rsidRPr="00000000">
        <w:rPr>
          <w:rFonts w:ascii="Georgia" w:cs="Georgia" w:eastAsia="Georgia" w:hAnsi="Georgia"/>
          <w:sz w:val="24"/>
          <w:szCs w:val="24"/>
          <w:rtl w:val="0"/>
        </w:rPr>
        <w:t xml:space="preserve">. Since these patients had failed or were intolerant of standard pharmacological therapies, correction of venous outflow obstruction may address a key mechanistic contributor to OH not addressed by standard treatments. Additional observational data indicate that venous angioplasty and stenting can be performed safely in selected patients, with low rates of major procedural complications during extended follow-up </w:t>
      </w:r>
      <w:hyperlink r:id="rId22">
        <w:r w:rsidDel="00000000" w:rsidR="00000000" w:rsidRPr="00000000">
          <w:rPr>
            <w:rFonts w:ascii="Georgia" w:cs="Georgia" w:eastAsia="Georgia" w:hAnsi="Georgia"/>
            <w:sz w:val="24"/>
            <w:szCs w:val="24"/>
            <w:rtl w:val="0"/>
          </w:rPr>
          <w:t xml:space="preserve">(20)</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37">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Building on this emerging evidence, the present study evaluates the clinical, pharmacologic, and physiologic outcomes of supracardiac venous angioplasty and stenting in a larger cohort of patients with OH. We hypothesized that restoration of venous outflow would lead to clinically meaningful reductions in orthostatic blood pressure drops, decreased reliance on vasoactive medications, and improvement in global clinical status, reflecting restoration of autonomic and circulatory homeostasis across multiple physiological domains.</w:t>
      </w:r>
    </w:p>
    <w:p w:rsidR="00000000" w:rsidDel="00000000" w:rsidP="00000000" w:rsidRDefault="00000000" w:rsidRPr="00000000" w14:paraId="00000038">
      <w:pPr>
        <w:spacing w:after="240" w:before="24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9">
      <w:pPr>
        <w:pStyle w:val="Title"/>
        <w:keepNext w:val="0"/>
        <w:keepLines w:val="0"/>
        <w:widowControl w:val="0"/>
        <w:pBdr>
          <w:top w:space="0" w:sz="0" w:val="nil"/>
          <w:left w:space="0" w:sz="0" w:val="nil"/>
          <w:bottom w:space="0" w:sz="0" w:val="nil"/>
          <w:right w:space="0" w:sz="0" w:val="nil"/>
          <w:between w:space="0" w:sz="0" w:val="nil"/>
        </w:pBdr>
        <w:spacing w:after="0" w:lineRule="auto"/>
        <w:jc w:val="both"/>
        <w:rPr>
          <w:rFonts w:ascii="Georgia" w:cs="Georgia" w:eastAsia="Georgia" w:hAnsi="Georgia"/>
          <w:b w:val="1"/>
          <w:bCs w:val="1"/>
          <w:sz w:val="28"/>
          <w:szCs w:val="28"/>
        </w:rPr>
      </w:pPr>
      <w:bookmarkStart w:colFirst="0" w:colLast="0" w:name="_heading=h.7mpp6jieztha" w:id="0"/>
      <w:bookmarkEnd w:id="0"/>
      <w:r w:rsidDel="00000000" w:rsidR="00000000" w:rsidRPr="00000000">
        <w:rPr>
          <w:rFonts w:ascii="Georgia" w:cs="Georgia" w:eastAsia="Georgia" w:hAnsi="Georgia"/>
          <w:b w:val="1"/>
          <w:bCs w:val="1"/>
          <w:color w:val="000000"/>
          <w:sz w:val="28"/>
          <w:szCs w:val="28"/>
          <w:rtl w:val="0"/>
        </w:rPr>
        <w:t xml:space="preserve">Methods</w: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jc w:val="both"/>
        <w:rPr>
          <w:rFonts w:ascii="Georgia" w:cs="Georgia" w:eastAsia="Georgia" w:hAnsi="Georgia"/>
          <w:b w:val="1"/>
          <w:bCs w:val="1"/>
          <w:sz w:val="24"/>
          <w:szCs w:val="24"/>
        </w:rPr>
      </w:pPr>
      <w:bookmarkStart w:colFirst="0" w:colLast="0" w:name="_heading=h.s3j5i1jn5dqx" w:id="1"/>
      <w:bookmarkEnd w:id="1"/>
      <w:r w:rsidDel="00000000" w:rsidR="00000000" w:rsidRPr="00000000">
        <w:rPr>
          <w:rFonts w:ascii="Georgia" w:cs="Georgia" w:eastAsia="Georgia" w:hAnsi="Georgia"/>
          <w:b w:val="1"/>
          <w:bCs w:val="1"/>
          <w:sz w:val="24"/>
          <w:szCs w:val="24"/>
          <w:rtl w:val="0"/>
        </w:rPr>
        <w:t xml:space="preserve">Study Design and Patient Population</w:t>
      </w:r>
    </w:p>
    <w:p w:rsidR="00000000" w:rsidDel="00000000" w:rsidP="00000000" w:rsidRDefault="00000000" w:rsidRPr="00000000" w14:paraId="0000003B">
      <w:pPr>
        <w:jc w:val="both"/>
        <w:rPr>
          <w:rFonts w:ascii="Georgia" w:cs="Georgia" w:eastAsia="Georgia" w:hAnsi="Georgia"/>
          <w:sz w:val="24"/>
          <w:szCs w:val="24"/>
        </w:rPr>
      </w:pPr>
      <w:bookmarkStart w:colFirst="0" w:colLast="0" w:name="_heading=h.r87iziu1q8pz" w:id="2"/>
      <w:bookmarkEnd w:id="2"/>
      <w:r w:rsidDel="00000000" w:rsidR="00000000" w:rsidRPr="00000000">
        <w:rPr>
          <w:rFonts w:ascii="Georgia" w:cs="Georgia" w:eastAsia="Georgia" w:hAnsi="Georgia"/>
          <w:sz w:val="24"/>
          <w:szCs w:val="24"/>
          <w:rtl w:val="0"/>
        </w:rPr>
        <w:t xml:space="preserve">This prospective, single-arm interventional clinical study evaluated outcomes after supracardiac venous angioplasty and/or stenting in patients with orthostatic hypotension (OH) refractory to, or not amenable to, medical therapy. Consecutive adults (</w:t>
      </w:r>
      <w:r w:rsidDel="00000000" w:rsidR="00000000" w:rsidRPr="00000000">
        <w:rPr>
          <w:rFonts w:ascii="Georgia" w:cs="Georgia" w:eastAsia="Georgia" w:hAnsi="Georgia"/>
          <w:sz w:val="24"/>
          <w:szCs w:val="24"/>
          <w:u w:val="single"/>
          <w:rtl w:val="0"/>
        </w:rPr>
        <w:t xml:space="preserve">&gt;</w:t>
      </w:r>
      <w:r w:rsidDel="00000000" w:rsidR="00000000" w:rsidRPr="00000000">
        <w:rPr>
          <w:rFonts w:ascii="Georgia" w:cs="Georgia" w:eastAsia="Georgia" w:hAnsi="Georgia"/>
          <w:sz w:val="24"/>
          <w:szCs w:val="24"/>
          <w:rtl w:val="0"/>
        </w:rPr>
        <w:t xml:space="preserve">18 years) referred for severe, function-limiting OH were eligible. Enrollment began in January 2025 and follow-up for this analysis concluded in March 2026.</w:t>
      </w:r>
    </w:p>
    <w:p w:rsidR="00000000" w:rsidDel="00000000" w:rsidP="00000000" w:rsidRDefault="00000000" w:rsidRPr="00000000" w14:paraId="0000003C">
      <w:pPr>
        <w:jc w:val="both"/>
        <w:rPr>
          <w:rFonts w:ascii="Georgia" w:cs="Georgia" w:eastAsia="Georgia" w:hAnsi="Georgia"/>
          <w:sz w:val="24"/>
          <w:szCs w:val="24"/>
        </w:rPr>
      </w:pPr>
      <w:bookmarkStart w:colFirst="0" w:colLast="0" w:name="_heading=h.r87iziu1q8pz" w:id="2"/>
      <w:bookmarkEnd w:id="2"/>
      <w:r w:rsidDel="00000000" w:rsidR="00000000" w:rsidRPr="00000000">
        <w:rPr>
          <w:rtl w:val="0"/>
        </w:rPr>
      </w:r>
    </w:p>
    <w:p w:rsidR="00000000" w:rsidDel="00000000" w:rsidP="00000000" w:rsidRDefault="00000000" w:rsidRPr="00000000" w14:paraId="0000003D">
      <w:pPr>
        <w:jc w:val="both"/>
        <w:rPr>
          <w:rFonts w:ascii="Georgia" w:cs="Georgia" w:eastAsia="Georgia" w:hAnsi="Georgia"/>
          <w:sz w:val="24"/>
          <w:szCs w:val="24"/>
        </w:rPr>
      </w:pPr>
      <w:bookmarkStart w:colFirst="0" w:colLast="0" w:name="_heading=h.r87iziu1q8pz" w:id="2"/>
      <w:bookmarkEnd w:id="2"/>
      <w:r w:rsidDel="00000000" w:rsidR="00000000" w:rsidRPr="00000000">
        <w:rPr>
          <w:rFonts w:ascii="Georgia" w:cs="Georgia" w:eastAsia="Georgia" w:hAnsi="Georgia"/>
          <w:sz w:val="24"/>
          <w:szCs w:val="24"/>
          <w:rtl w:val="0"/>
        </w:rPr>
        <w:t xml:space="preserve">OH was defined according to established criteria as a reduction in systolic blood pressure of at least 20 mmHg on transition from supine to standing posture (2). All included patients had failed conservative management and were refractory to or intolerant of standard pharmacologic therapies. A total of 52 patients (33 male, 19 female) underwent supracardiac venous angioplasty and/or stenting. The study is reported in accordance with STROBE guidelines and is registered at ClinicalTrials.gov (NCT07195903).</w:t>
      </w:r>
    </w:p>
    <w:p w:rsidR="00000000" w:rsidDel="00000000" w:rsidP="00000000" w:rsidRDefault="00000000" w:rsidRPr="00000000" w14:paraId="0000003E">
      <w:pPr>
        <w:jc w:val="both"/>
        <w:rPr>
          <w:rFonts w:ascii="Georgia" w:cs="Georgia" w:eastAsia="Georgia" w:hAnsi="Georgia"/>
          <w:sz w:val="24"/>
          <w:szCs w:val="24"/>
        </w:rPr>
      </w:pPr>
      <w:bookmarkStart w:colFirst="0" w:colLast="0" w:name="_heading=h.r87iziu1q8pz" w:id="2"/>
      <w:bookmarkEnd w:id="2"/>
      <w:r w:rsidDel="00000000" w:rsidR="00000000" w:rsidRPr="00000000">
        <w:rPr>
          <w:rtl w:val="0"/>
        </w:rPr>
      </w:r>
    </w:p>
    <w:p w:rsidR="00000000" w:rsidDel="00000000" w:rsidP="00000000" w:rsidRDefault="00000000" w:rsidRPr="00000000" w14:paraId="0000003F">
      <w:pPr>
        <w:jc w:val="both"/>
        <w:rPr>
          <w:rFonts w:ascii="Georgia" w:cs="Georgia" w:eastAsia="Georgia" w:hAnsi="Georgia"/>
          <w:sz w:val="24"/>
          <w:szCs w:val="24"/>
        </w:rPr>
      </w:pPr>
      <w:bookmarkStart w:colFirst="0" w:colLast="0" w:name="_heading=h.r87iziu1q8pz" w:id="2"/>
      <w:bookmarkEnd w:id="2"/>
      <w:r w:rsidDel="00000000" w:rsidR="00000000" w:rsidRPr="00000000">
        <w:rPr>
          <w:rFonts w:ascii="Georgia" w:cs="Georgia" w:eastAsia="Georgia" w:hAnsi="Georgia"/>
          <w:sz w:val="24"/>
          <w:szCs w:val="24"/>
          <w:rtl w:val="0"/>
        </w:rPr>
        <w:t xml:space="preserve">To limit selection bias, consecutive eligible patients were enrolled using predefined inclusion criteria. Measurement bias was reduced through a standardized orthostatic blood pressure protocol (automated upper-arm cuff at heart level in supine, sitting, and standing positions) and consistent angiographic post-processing methods. Because this was a single-arm interventional study, residual confounding cannot be fully excluded; findings are therefore interpreted as associations within a prospectively treated cohort rather than definitive causal effects.</w:t>
      </w:r>
    </w:p>
    <w:p w:rsidR="00000000" w:rsidDel="00000000" w:rsidP="00000000" w:rsidRDefault="00000000" w:rsidRPr="00000000" w14:paraId="00000040">
      <w:pPr>
        <w:jc w:val="both"/>
        <w:rPr>
          <w:rFonts w:ascii="Georgia" w:cs="Georgia" w:eastAsia="Georgia" w:hAnsi="Georgia"/>
          <w:sz w:val="24"/>
          <w:szCs w:val="24"/>
        </w:rPr>
      </w:pPr>
      <w:bookmarkStart w:colFirst="0" w:colLast="0" w:name="_heading=h.r87iziu1q8pz" w:id="2"/>
      <w:bookmarkEnd w:id="2"/>
      <w:r w:rsidDel="00000000" w:rsidR="00000000" w:rsidRPr="00000000">
        <w:rPr>
          <w:rtl w:val="0"/>
        </w:rPr>
      </w:r>
    </w:p>
    <w:p w:rsidR="00000000" w:rsidDel="00000000" w:rsidP="00000000" w:rsidRDefault="00000000" w:rsidRPr="00000000" w14:paraId="0000004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Missing data were handled using available-case analysis for each endpoint. For patients unable to tolerate standing because of presyncope or syncope, standing blood pressure was assigned a predefined imputed value of 50/20 mmHg to represent profound orthostatic hypotension while avoiding physiologically implausible values. No additional multiple-imputation procedures were performed.</w: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Diagnostic Evaluation</w:t>
      </w:r>
    </w:p>
    <w:p w:rsidR="00000000" w:rsidDel="00000000" w:rsidP="00000000" w:rsidRDefault="00000000" w:rsidRPr="00000000" w14:paraId="0000004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Patients underwent comprehensive endovascular evaluation of supracardiac venous outflow. Diagnostic venography, venous pressures and intravascular ultrasound (IVUS) were used to assess the cranial venous outflow dynamics with a focus on the internal jugular veins and brachiocephalic veins.  </w:t>
      </w:r>
    </w:p>
    <w:p w:rsidR="00000000" w:rsidDel="00000000" w:rsidP="00000000" w:rsidRDefault="00000000" w:rsidRPr="00000000" w14:paraId="00000044">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Venous stenosis was identified based on luminal narrowing, abnormal venous morphology, delayed contrast transit, intraluminal abnormalities, collateralization, and/or pressure gradients.</w:t>
      </w:r>
    </w:p>
    <w:p w:rsidR="00000000" w:rsidDel="00000000" w:rsidP="00000000" w:rsidRDefault="00000000" w:rsidRPr="00000000" w14:paraId="00000045">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Orthostatic blood pressure measurements were obtained from clinical encounters before and after intervention using an automated upper-arm cuff at heart level in the supine, sitting, and standing positions. Measurements occurred over a variable window, spanning up to 331 days pre-intervention and 334 days post-intervention. Due to clinical variability, the number and timing of recordings differed by patient; where multiple visits occurred, values were averaged to determine representative systolic blood pressures (SBPs). For patients experiencing presyncope or syncope that prevented standing measurements, a standardized value of 50/20 mmHg was assigned. This conservative estimate was used to represent profound hypotension while avoiding physiologically improbable values (e.g., 0 mmHg) at the level of the heart.</w:t>
      </w:r>
    </w:p>
    <w:p w:rsidR="00000000" w:rsidDel="00000000" w:rsidP="00000000" w:rsidRDefault="00000000" w:rsidRPr="00000000" w14:paraId="00000046">
      <w:pPr>
        <w:pStyle w:val="Heading2"/>
        <w:keepNext w:val="0"/>
        <w:keepLines w:val="0"/>
        <w:spacing w:after="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Endovascular Intervention</w:t>
      </w:r>
    </w:p>
    <w:p w:rsidR="00000000" w:rsidDel="00000000" w:rsidP="00000000" w:rsidRDefault="00000000" w:rsidRPr="00000000" w14:paraId="0000004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Endovascular intervention in a majority of cases involved the steps described here. The procedures were performed under laryngeal mask airway anesthesia to maintain spontaneous respiration resulting in a physiological negative intrathoracic pressure during inspiration. Following transfemoral venous access via a 9F sheath, the right internal jugular vein was accessed with a TracStar LDP guide catheter to obtain pressure waveforms. A 0.014" microwire was navigated into the superior sagittal sinus, and high-definition IVUS (Nipro Dualpro, Philips Refinity, ACIST HDi, or Boston Scientific OPTICROSS HD) was initiated and extended from the superior sagittal sinus down to the superior vena cava. Jugular venograms were performed just above the C1 and at the mid-jugular levels. This facilitated stent sizing and analysis of venous outflow. Medtronic Abre stents (14–16 mm diameter; 60–150 mm length) were deployed from the mid-jugular to the brachiocephalic vein, followed by angioplasty using Armada, Dorado, or Atlas balloons (10 - 14 mm diameter; 20 - 40 mm length). This process was repeated on the left side, with specific evaluation for “syndrome sinistre” (midline innominate or aortic compression of the left brachiocephalic vein) </w:t>
      </w:r>
      <w:hyperlink r:id="rId23">
        <w:r w:rsidDel="00000000" w:rsidR="00000000" w:rsidRPr="00000000">
          <w:rPr>
            <w:rFonts w:ascii="Georgia" w:cs="Georgia" w:eastAsia="Georgia" w:hAnsi="Georgia"/>
            <w:sz w:val="24"/>
            <w:szCs w:val="24"/>
            <w:rtl w:val="0"/>
          </w:rPr>
          <w:t xml:space="preserve">(21)</w:t>
        </w:r>
      </w:hyperlink>
      <w:r w:rsidDel="00000000" w:rsidR="00000000" w:rsidRPr="00000000">
        <w:rPr>
          <w:rFonts w:ascii="Georgia" w:cs="Georgia" w:eastAsia="Georgia" w:hAnsi="Georgia"/>
          <w:sz w:val="24"/>
          <w:szCs w:val="24"/>
          <w:rtl w:val="0"/>
        </w:rPr>
        <w:t xml:space="preserve">; left-sided stents were extended past the midline when necessary. To prevent lead entrapment, patients with pacemakers received angioplasty alone unless lead extraction was performed to allow stenting. Hemostasis was achieved via a ProGlide closure device or manual compression. Of the 52 patients, three received angioplasty alone, 10 underwent unilateral stenting, and 39 received bilateral stenting.</w:t>
      </w:r>
    </w:p>
    <w:p w:rsidR="00000000" w:rsidDel="00000000" w:rsidP="00000000" w:rsidRDefault="00000000" w:rsidRPr="00000000" w14:paraId="00000048">
      <w:pPr>
        <w:pStyle w:val="Heading2"/>
        <w:keepNext w:val="0"/>
        <w:keepLines w:val="0"/>
        <w:spacing w:after="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Angiographic Quantification</w:t>
      </w:r>
    </w:p>
    <w:p w:rsidR="00000000" w:rsidDel="00000000" w:rsidP="00000000" w:rsidRDefault="00000000" w:rsidRPr="00000000" w14:paraId="00000049">
      <w:pPr>
        <w:jc w:val="both"/>
        <w:rPr>
          <w:rFonts w:ascii="Georgia" w:cs="Georgia" w:eastAsia="Georgia" w:hAnsi="Georgia"/>
          <w:sz w:val="24"/>
          <w:szCs w:val="24"/>
        </w:rPr>
      </w:pPr>
      <w:bookmarkStart w:colFirst="0" w:colLast="0" w:name="_heading=h.cx08urgqv512" w:id="3"/>
      <w:bookmarkEnd w:id="3"/>
      <w:r w:rsidDel="00000000" w:rsidR="00000000" w:rsidRPr="00000000">
        <w:rPr>
          <w:rFonts w:ascii="Georgia" w:cs="Georgia" w:eastAsia="Georgia" w:hAnsi="Georgia"/>
          <w:sz w:val="24"/>
          <w:szCs w:val="24"/>
          <w:rtl w:val="0"/>
        </w:rPr>
        <w:t xml:space="preserve">To objectively evaluate changes in venous outflow, pre- and post-treatment venograms were retrospectively analyzed. Venograms in DICOM format were imported into ImageJ </w:t>
      </w:r>
      <w:hyperlink r:id="rId24">
        <w:r w:rsidDel="00000000" w:rsidR="00000000" w:rsidRPr="00000000">
          <w:rPr>
            <w:rFonts w:ascii="Georgia" w:cs="Georgia" w:eastAsia="Georgia" w:hAnsi="Georgia"/>
            <w:sz w:val="24"/>
            <w:szCs w:val="24"/>
            <w:rtl w:val="0"/>
          </w:rPr>
          <w:t xml:space="preserve">(22)</w:t>
        </w:r>
      </w:hyperlink>
      <w:r w:rsidDel="00000000" w:rsidR="00000000" w:rsidRPr="00000000">
        <w:rPr>
          <w:rFonts w:ascii="Georgia" w:cs="Georgia" w:eastAsia="Georgia" w:hAnsi="Georgia"/>
          <w:sz w:val="24"/>
          <w:szCs w:val="24"/>
          <w:rtl w:val="0"/>
        </w:rPr>
        <w:t xml:space="preserve">, where contrast time-density curves (TDCs) were generated for each vessel. Regions of interest (ROI) were drawn on the internal jugular vein (IJV) encompassing the vessel from a point distal to the stenosis through the stenotic segment itself (Supplementary Figure 1). ROIs were standardized between pre- and post-treatment images, ensuring similar length and anatomical positioning. For patients undergoing bilateral intervention, ROIs were defined for both the left and right IJVs, yielding four TDCs per patient (two pre- and two post-treatment).</w:t>
      </w:r>
    </w:p>
    <w:p w:rsidR="00000000" w:rsidDel="00000000" w:rsidP="00000000" w:rsidRDefault="00000000" w:rsidRPr="00000000" w14:paraId="0000004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Three quantitative parameters were extracted from each TDC: (i) time-to-peak (TTP), (ii) mean transit time (MTT), and (iii) the exponential decay constant (EDC). To ensure a valid comparison of MTT, paired pre- and post- TDCs from each IJV were cropped to identical temporal windows. The EDC was calculated by fitting the washout phase (post-peak) of the TDC to an exponential decay model (</w:t>
      </w:r>
      <m:oMath>
        <m:r>
          <w:rPr>
            <w:rFonts w:ascii="Georgia" w:cs="Georgia" w:eastAsia="Georgia" w:hAnsi="Georgia"/>
            <w:sz w:val="24"/>
            <w:szCs w:val="24"/>
          </w:rPr>
          <m:t xml:space="preserve">y=</m:t>
        </m:r>
        <m:sSup>
          <m:sSupPr>
            <m:ctrlPr>
              <w:rPr>
                <w:rFonts w:ascii="Georgia" w:cs="Georgia" w:eastAsia="Georgia" w:hAnsi="Georgia"/>
                <w:sz w:val="24"/>
                <w:szCs w:val="24"/>
              </w:rPr>
            </m:ctrlPr>
          </m:sSupPr>
          <m:e>
            <m:r>
              <w:rPr>
                <w:rFonts w:ascii="Georgia" w:cs="Georgia" w:eastAsia="Georgia" w:hAnsi="Georgia"/>
                <w:sz w:val="24"/>
                <w:szCs w:val="24"/>
              </w:rPr>
              <m:t xml:space="preserve">e</m:t>
            </m:r>
          </m:e>
          <m:sup>
            <m:r>
              <w:rPr>
                <w:rFonts w:ascii="Georgia" w:cs="Georgia" w:eastAsia="Georgia" w:hAnsi="Georgia"/>
                <w:sz w:val="24"/>
                <w:szCs w:val="24"/>
              </w:rPr>
              <m:t xml:space="preserve">EDC*t</m:t>
            </m:r>
          </m:sup>
        </m:sSup>
      </m:oMath>
      <w:r w:rsidDel="00000000" w:rsidR="00000000" w:rsidRPr="00000000">
        <w:rPr>
          <w:rFonts w:ascii="Georgia" w:cs="Georgia" w:eastAsia="Georgia" w:hAnsi="Georgia"/>
          <w:sz w:val="24"/>
          <w:szCs w:val="24"/>
          <w:rtl w:val="0"/>
        </w:rPr>
        <w:t xml:space="preserve">). These metrics served as functional proxies for venous outflow velocity and efficiency. Statistical comparisons were performed for parameters from the right IJV, left IJV, and the bi-jugular average to assess changes from the pre- to post- state.</w:t>
      </w:r>
    </w:p>
    <w:p w:rsidR="00000000" w:rsidDel="00000000" w:rsidP="00000000" w:rsidRDefault="00000000" w:rsidRPr="00000000" w14:paraId="0000004B">
      <w:pPr>
        <w:pStyle w:val="Heading2"/>
        <w:keepNext w:val="0"/>
        <w:keepLines w:val="0"/>
        <w:spacing w:after="80" w:lineRule="auto"/>
        <w:jc w:val="both"/>
        <w:rPr>
          <w:rFonts w:ascii="Georgia" w:cs="Georgia" w:eastAsia="Georgia" w:hAnsi="Georgia"/>
          <w:b w:val="1"/>
          <w:bCs w:val="1"/>
          <w:sz w:val="24"/>
          <w:szCs w:val="24"/>
        </w:rPr>
      </w:pPr>
      <w:bookmarkStart w:colFirst="0" w:colLast="0" w:name="_heading=h.12647tav2upc" w:id="4"/>
      <w:bookmarkEnd w:id="4"/>
      <w:r w:rsidDel="00000000" w:rsidR="00000000" w:rsidRPr="00000000">
        <w:rPr>
          <w:rFonts w:ascii="Georgia" w:cs="Georgia" w:eastAsia="Georgia" w:hAnsi="Georgia"/>
          <w:b w:val="1"/>
          <w:bCs w:val="1"/>
          <w:sz w:val="24"/>
          <w:szCs w:val="24"/>
          <w:rtl w:val="0"/>
        </w:rPr>
        <w:t xml:space="preserve">Medication Quantification</w:t>
      </w:r>
    </w:p>
    <w:p w:rsidR="00000000" w:rsidDel="00000000" w:rsidP="00000000" w:rsidRDefault="00000000" w:rsidRPr="00000000" w14:paraId="0000004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Blood pressure raising medications were adjusted following intervention based on clinical response. Medication burden was quantified using midodrine-equivalent dose (MEQ). The daily dose of each medication (midodrine, fludrocortisone, droxidopa, pyridostigmine) that the patient was on, was normalized to the maximum allowed daily dose for that medication. The sum of these ratios was multiplied by the maximum allowed daily dose of midodrine (30 mg) to arrive at the MEQ. This unified scale allowed for quantitative comparison across agents. Pre-intervention MEQ was calculated as the highest stable medication burden prior to the procedure. Post-intervention MEQ was defined as the prescribed daily dose at follow-up. Follow-up duration ranged from approximately 2 to 15 months across patients. Correlation analyses were performed on complete-case overlapping observations for each variable pair; therefore, denominators vary by analysis</w:t>
      </w:r>
    </w:p>
    <w:p w:rsidR="00000000" w:rsidDel="00000000" w:rsidP="00000000" w:rsidRDefault="00000000" w:rsidRPr="00000000" w14:paraId="0000004D">
      <w:pPr>
        <w:pStyle w:val="Heading2"/>
        <w:keepNext w:val="0"/>
        <w:keepLines w:val="0"/>
        <w:spacing w:after="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Outcome Measures</w:t>
      </w:r>
    </w:p>
    <w:p w:rsidR="00000000" w:rsidDel="00000000" w:rsidP="00000000" w:rsidRDefault="00000000" w:rsidRPr="00000000" w14:paraId="0000004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primary physiological outcome was the change in orthostatic systolic blood pressure (SBP) drop, calculated as the difference between supine and standing SBP. Following the intervention, percentage changes relative to baseline (</w:t>
      </w:r>
      <m:oMath>
        <m:f>
          <m:fPr>
            <m:ctrlPr>
              <w:rPr>
                <w:rFonts w:ascii="Georgia" w:cs="Georgia" w:eastAsia="Georgia" w:hAnsi="Georgia"/>
                <w:sz w:val="24"/>
                <w:szCs w:val="24"/>
              </w:rPr>
            </m:ctrlPr>
          </m:fPr>
          <m:num>
            <m:sSub>
              <m:sSubPr>
                <m:ctrlPr>
                  <w:rPr>
                    <w:rFonts w:ascii="Georgia" w:cs="Georgia" w:eastAsia="Georgia" w:hAnsi="Georgia"/>
                    <w:sz w:val="24"/>
                    <w:szCs w:val="24"/>
                  </w:rPr>
                </m:ctrlPr>
              </m:sSubPr>
              <m:e>
                <m:r>
                  <w:rPr>
                    <w:rFonts w:ascii="Georgia" w:cs="Georgia" w:eastAsia="Georgia" w:hAnsi="Georgia"/>
                    <w:sz w:val="24"/>
                    <w:szCs w:val="24"/>
                  </w:rPr>
                  <m:t xml:space="preserve">SBPdrop</m:t>
                </m:r>
              </m:e>
              <m:sub>
                <m:r>
                  <w:rPr>
                    <w:rFonts w:ascii="Georgia" w:cs="Georgia" w:eastAsia="Georgia" w:hAnsi="Georgia"/>
                    <w:sz w:val="24"/>
                    <w:szCs w:val="24"/>
                  </w:rPr>
                  <m:t xml:space="preserve">post</m:t>
                </m:r>
              </m:sub>
            </m:sSub>
            <m:r>
              <w:rPr>
                <w:rFonts w:ascii="Georgia" w:cs="Georgia" w:eastAsia="Georgia" w:hAnsi="Georgia"/>
                <w:sz w:val="24"/>
                <w:szCs w:val="24"/>
              </w:rPr>
              <m:t xml:space="preserve">- </m:t>
            </m:r>
            <m:sSub>
              <m:sSubPr>
                <m:ctrlPr>
                  <w:rPr>
                    <w:rFonts w:ascii="Georgia" w:cs="Georgia" w:eastAsia="Georgia" w:hAnsi="Georgia"/>
                    <w:sz w:val="24"/>
                    <w:szCs w:val="24"/>
                  </w:rPr>
                </m:ctrlPr>
              </m:sSubPr>
              <m:e>
                <m:r>
                  <w:rPr>
                    <w:rFonts w:ascii="Georgia" w:cs="Georgia" w:eastAsia="Georgia" w:hAnsi="Georgia"/>
                    <w:sz w:val="24"/>
                    <w:szCs w:val="24"/>
                  </w:rPr>
                  <m:t xml:space="preserve">SBPdrop</m:t>
                </m:r>
              </m:e>
              <m:sub>
                <m:r>
                  <w:rPr>
                    <w:rFonts w:ascii="Georgia" w:cs="Georgia" w:eastAsia="Georgia" w:hAnsi="Georgia"/>
                    <w:sz w:val="24"/>
                    <w:szCs w:val="24"/>
                  </w:rPr>
                  <m:t xml:space="preserve">pre</m:t>
                </m:r>
              </m:sub>
            </m:sSub>
          </m:num>
          <m:den>
            <m:sSub>
              <m:sSubPr>
                <m:ctrlPr>
                  <w:rPr>
                    <w:rFonts w:ascii="Georgia" w:cs="Georgia" w:eastAsia="Georgia" w:hAnsi="Georgia"/>
                    <w:sz w:val="24"/>
                    <w:szCs w:val="24"/>
                  </w:rPr>
                </m:ctrlPr>
              </m:sSubPr>
              <m:e>
                <m:r>
                  <w:rPr>
                    <w:rFonts w:ascii="Georgia" w:cs="Georgia" w:eastAsia="Georgia" w:hAnsi="Georgia"/>
                    <w:sz w:val="24"/>
                    <w:szCs w:val="24"/>
                  </w:rPr>
                  <m:t xml:space="preserve">SBPdrop</m:t>
                </m:r>
              </m:e>
              <m:sub>
                <m:r>
                  <w:rPr>
                    <w:rFonts w:ascii="Georgia" w:cs="Georgia" w:eastAsia="Georgia" w:hAnsi="Georgia"/>
                    <w:sz w:val="24"/>
                    <w:szCs w:val="24"/>
                  </w:rPr>
                  <m:t xml:space="preserve">pre</m:t>
                </m:r>
              </m:sub>
            </m:sSub>
          </m:den>
        </m:f>
      </m:oMath>
      <w:r w:rsidDel="00000000" w:rsidR="00000000" w:rsidRPr="00000000">
        <w:rPr>
          <w:rFonts w:ascii="Georgia" w:cs="Georgia" w:eastAsia="Georgia" w:hAnsi="Georgia"/>
          <w:sz w:val="24"/>
          <w:szCs w:val="24"/>
          <w:rtl w:val="0"/>
        </w:rPr>
        <w:t xml:space="preserve">) were analyzed as continuous outcomes. The pharmacological outcome was quantified as the difference in MEQ at follow-up compared to baseline; medication independence was defined as an MEQ of 0. Patients not on any vasoactive medication prior to the treatment were excluded from the MEQ analysis. The angiographic outcome was represented by the difference in TTP, the difference in MTT, and the log ratio of the EDC from pre- to post-treatment. Finally, clinical response was assessed using the Clinical Global Impression–Improvement (CGI-I) scale </w:t>
      </w:r>
      <w:hyperlink r:id="rId25">
        <w:r w:rsidDel="00000000" w:rsidR="00000000" w:rsidRPr="00000000">
          <w:rPr>
            <w:rFonts w:ascii="Georgia" w:cs="Georgia" w:eastAsia="Georgia" w:hAnsi="Georgia"/>
            <w:color w:val="000000"/>
            <w:sz w:val="24"/>
            <w:szCs w:val="24"/>
            <w:rtl w:val="0"/>
          </w:rPr>
          <w:t xml:space="preserve">(23)</w:t>
        </w:r>
      </w:hyperlink>
      <w:r w:rsidDel="00000000" w:rsidR="00000000" w:rsidRPr="00000000">
        <w:rPr>
          <w:rFonts w:ascii="Georgia" w:cs="Georgia" w:eastAsia="Georgia" w:hAnsi="Georgia"/>
          <w:sz w:val="24"/>
          <w:szCs w:val="24"/>
          <w:rtl w:val="0"/>
        </w:rPr>
        <w:t xml:space="preserve">. CGI-I scores were primarily patient-reported. However, for four patients who died from causes unrelated to the intervention prior to final data collection, scores were assigned by the treating physician based on clinical status at their most recent follow-up visit.</w:t>
      </w:r>
    </w:p>
    <w:p w:rsidR="00000000" w:rsidDel="00000000" w:rsidP="00000000" w:rsidRDefault="00000000" w:rsidRPr="00000000" w14:paraId="0000004F">
      <w:pPr>
        <w:pStyle w:val="Heading2"/>
        <w:keepNext w:val="0"/>
        <w:keepLines w:val="0"/>
        <w:spacing w:after="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Safety Assessment</w:t>
      </w:r>
    </w:p>
    <w:p w:rsidR="00000000" w:rsidDel="00000000" w:rsidP="00000000" w:rsidRDefault="00000000" w:rsidRPr="00000000" w14:paraId="0000005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Safety outcomes were evaluated through a comprehensive analysis of all treated patients, focusing on major adverse events (MAEs) and device-specific performance metrics. Primary safety endpoints included procedure-related mortality (defined as death occurring within 30 days of the intervention or during the index hospital stay that was directly related to the procedure), systemic hemorrhagic events requiring transfusion or surgical intervention (such as retroperitoneal hemorrhage or large groin hematomas), and venous thrombotic events, including acute in-stent thrombosis or symptomatic occlusion of adjacent venous segments. Additionally, we monitored for intraprocedural vascular injuries—specifically vessel perforation, rupture, or dissection—and new-onset neurologic deficits, including cranial nerve palsies or central neurological events. Device-specific performance was further characterized by technical deployment success (full stent expansion at the target site), device structural integrity (monitoring for acute stent fracture), and the absence of intra-procedural device migration following deployment.</w:t>
      </w:r>
    </w:p>
    <w:p w:rsidR="00000000" w:rsidDel="00000000" w:rsidP="00000000" w:rsidRDefault="00000000" w:rsidRPr="00000000" w14:paraId="00000051">
      <w:pPr>
        <w:pStyle w:val="Heading2"/>
        <w:keepNext w:val="0"/>
        <w:keepLines w:val="0"/>
        <w:spacing w:after="80" w:lineRule="auto"/>
        <w:jc w:val="both"/>
        <w:rPr>
          <w:rFonts w:ascii="Georgia" w:cs="Georgia" w:eastAsia="Georgia" w:hAnsi="Georgia"/>
          <w:b w:val="1"/>
          <w:bCs w:val="1"/>
          <w:sz w:val="24"/>
          <w:szCs w:val="24"/>
        </w:rPr>
      </w:pPr>
      <w:bookmarkStart w:colFirst="0" w:colLast="0" w:name="_heading=h.35lef1mw5k7g" w:id="5"/>
      <w:bookmarkEnd w:id="5"/>
      <w:r w:rsidDel="00000000" w:rsidR="00000000" w:rsidRPr="00000000">
        <w:rPr>
          <w:rFonts w:ascii="Georgia" w:cs="Georgia" w:eastAsia="Georgia" w:hAnsi="Georgia"/>
          <w:b w:val="1"/>
          <w:bCs w:val="1"/>
          <w:sz w:val="24"/>
          <w:szCs w:val="24"/>
          <w:rtl w:val="0"/>
        </w:rPr>
        <w:t xml:space="preserve">Statistical Analysis</w:t>
      </w:r>
    </w:p>
    <w:p w:rsidR="00000000" w:rsidDel="00000000" w:rsidP="00000000" w:rsidRDefault="00000000" w:rsidRPr="00000000" w14:paraId="00000052">
      <w:pPr>
        <w:jc w:val="both"/>
        <w:rPr>
          <w:rFonts w:ascii="Georgia" w:cs="Georgia" w:eastAsia="Georgia" w:hAnsi="Georgia"/>
          <w:sz w:val="24"/>
          <w:szCs w:val="24"/>
        </w:rPr>
      </w:pPr>
      <w:sdt>
        <w:sdtPr>
          <w:id w:val="479725242"/>
          <w:tag w:val="goog_rdk_1"/>
        </w:sdtPr>
        <w:sdtContent>
          <w:r w:rsidDel="00000000" w:rsidR="00000000" w:rsidRPr="00000000">
            <w:rPr>
              <w:rFonts w:ascii="Gungsuh" w:cs="Gungsuh" w:eastAsia="Gungsuh" w:hAnsi="Gungsuh"/>
              <w:sz w:val="24"/>
              <w:szCs w:val="24"/>
              <w:rtl w:val="0"/>
            </w:rPr>
            <w:t xml:space="preserve">Continuous variables are reported as mean ± standard deviation or median with interquartile range (IQR), as appropriate. Pre- and post-intervention comparisons were performed using paired t-tests or Wilcoxon signed-rank tests depending on data distribution. All statistical tests were two-sided, with significance defined as p&lt;0.05. Univariate correlations were evaluated between angiographic (EDC), medication (MEQ), and orthostatic SBP drop measures. Receiver operating characteristic (ROC) curves were used to assess the ability of pre-to-post changes in EDC, MEQ, and SBP drop to predict clinical improvement, defined as a CGI-I score ≤ 3. Statistical analyses were conducted using GraphPad Prism (GraphPad Software, San Diego, CA, USA) and MATLAB (MathWorks, Natick, MA, USA).</w:t>
          </w:r>
        </w:sdtContent>
      </w:sdt>
    </w:p>
    <w:p w:rsidR="00000000" w:rsidDel="00000000" w:rsidP="00000000" w:rsidRDefault="00000000" w:rsidRPr="00000000" w14:paraId="00000053">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4">
      <w:pPr>
        <w:pStyle w:val="Title"/>
        <w:keepNext w:val="0"/>
        <w:keepLines w:val="0"/>
        <w:widowControl w:val="0"/>
        <w:pBdr>
          <w:top w:space="0" w:sz="0" w:val="nil"/>
          <w:left w:space="0" w:sz="0" w:val="nil"/>
          <w:bottom w:space="0" w:sz="0" w:val="nil"/>
          <w:right w:space="0" w:sz="0" w:val="nil"/>
          <w:between w:space="0" w:sz="0" w:val="nil"/>
        </w:pBdr>
        <w:spacing w:after="0" w:lineRule="auto"/>
        <w:jc w:val="both"/>
        <w:rPr>
          <w:rFonts w:ascii="Georgia" w:cs="Georgia" w:eastAsia="Georgia" w:hAnsi="Georgia"/>
          <w:b w:val="1"/>
          <w:bCs w:val="1"/>
          <w:color w:val="000000"/>
          <w:sz w:val="28"/>
          <w:szCs w:val="28"/>
        </w:rPr>
      </w:pPr>
      <w:bookmarkStart w:colFirst="0" w:colLast="0" w:name="_heading=h.dfzv01jyyope" w:id="6"/>
      <w:bookmarkEnd w:id="6"/>
      <w:r w:rsidDel="00000000" w:rsidR="00000000" w:rsidRPr="00000000">
        <w:rPr>
          <w:rFonts w:ascii="Georgia" w:cs="Georgia" w:eastAsia="Georgia" w:hAnsi="Georgia"/>
          <w:b w:val="1"/>
          <w:bCs w:val="1"/>
          <w:color w:val="000000"/>
          <w:sz w:val="28"/>
          <w:szCs w:val="28"/>
          <w:rtl w:val="0"/>
        </w:rPr>
        <w:t xml:space="preserve">Results</w:t>
      </w:r>
    </w:p>
    <w:p w:rsidR="00000000" w:rsidDel="00000000" w:rsidP="00000000" w:rsidRDefault="00000000" w:rsidRPr="00000000" w14:paraId="00000055">
      <w:pPr>
        <w:pStyle w:val="Heading2"/>
        <w:keepNext w:val="0"/>
        <w:keepLines w:val="0"/>
        <w:spacing w:after="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Study Cohort</w:t>
      </w:r>
    </w:p>
    <w:p w:rsidR="00000000" w:rsidDel="00000000" w:rsidP="00000000" w:rsidRDefault="00000000" w:rsidRPr="00000000" w14:paraId="0000005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total of 52 patients underwent supracardiac venous angioplasty and/or stenting. Paired orthostatic blood pressure data were available for 48 patients and were included in physiologic outcome analyses. 24 patients were receiving vasoactive medications at baseline and were included in medication burden analyses. Clinical Global Impression–Improvement (CGI-I) scores were available for 49 patients. Participants ranged in age from 49 to 93 years (mean, 75.3 years; SD, 9.7; median, 76). All effect estimates are reported as unadjusted.</w:t>
      </w:r>
    </w:p>
    <w:p w:rsidR="00000000" w:rsidDel="00000000" w:rsidP="00000000" w:rsidRDefault="00000000" w:rsidRPr="00000000" w14:paraId="00000057">
      <w:pPr>
        <w:pStyle w:val="Heading2"/>
        <w:keepNext w:val="0"/>
        <w:keepLines w:val="0"/>
        <w:spacing w:after="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Orthostatic Blood Pressure Outcomes</w:t>
      </w:r>
    </w:p>
    <w:p w:rsidR="00000000" w:rsidDel="00000000" w:rsidP="00000000" w:rsidRDefault="00000000" w:rsidRPr="00000000" w14:paraId="0000005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Orthostatic systolic blood pressure (SBP) regulation improved significantly following intervention. The mean orthostatic SBP drop decreased from 36.2 ± 21.9 mmHg pre-procedure to 26.3 ± 19.1 mmHg post-procedure, representing a mean reduction of 9.9 mmHg (95% CI, 4.0 to 15.8; </w:t>
      </w:r>
      <w:r w:rsidDel="00000000" w:rsidR="00000000" w:rsidRPr="00000000">
        <w:rPr>
          <w:rFonts w:ascii="Georgia" w:cs="Georgia" w:eastAsia="Georgia" w:hAnsi="Georgia"/>
          <w:i w:val="1"/>
          <w:iCs w:val="1"/>
          <w:sz w:val="24"/>
          <w:szCs w:val="24"/>
          <w:rtl w:val="0"/>
        </w:rPr>
        <w:t xml:space="preserve">p=0.0007</w:t>
      </w:r>
      <w:r w:rsidDel="00000000" w:rsidR="00000000" w:rsidRPr="00000000">
        <w:rPr>
          <w:rFonts w:ascii="Georgia" w:cs="Georgia" w:eastAsia="Georgia" w:hAnsi="Georgia"/>
          <w:sz w:val="24"/>
          <w:szCs w:val="24"/>
          <w:rtl w:val="0"/>
        </w:rPr>
        <w:t xml:space="preserve">, Figure 1A). Overall, 35 of 48 patients (72.9%) demonstrated directional improvement in orthostatic SBP regulation.</w:t>
      </w:r>
    </w:p>
    <w:p w:rsidR="00000000" w:rsidDel="00000000" w:rsidP="00000000" w:rsidRDefault="00000000" w:rsidRPr="00000000" w14:paraId="00000059">
      <w:pPr>
        <w:pStyle w:val="Heading2"/>
        <w:keepNext w:val="0"/>
        <w:keepLines w:val="0"/>
        <w:spacing w:after="80" w:lineRule="auto"/>
        <w:jc w:val="both"/>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rtl w:val="0"/>
        </w:rPr>
        <w:t xml:space="preserve">Angiographic Outcome</w:t>
      </w:r>
      <w:r w:rsidDel="00000000" w:rsidR="00000000" w:rsidRPr="00000000">
        <w:rPr>
          <w:rtl w:val="0"/>
        </w:rPr>
      </w:r>
    </w:p>
    <w:p w:rsidR="00000000" w:rsidDel="00000000" w:rsidP="00000000" w:rsidRDefault="00000000" w:rsidRPr="00000000" w14:paraId="0000005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TTP was statistically significantly different between the pre- and post-treatment TDCs on the right IJV (</w:t>
      </w:r>
      <w:r w:rsidDel="00000000" w:rsidR="00000000" w:rsidRPr="00000000">
        <w:rPr>
          <w:rFonts w:ascii="Georgia" w:cs="Georgia" w:eastAsia="Georgia" w:hAnsi="Georgia"/>
          <w:i w:val="1"/>
          <w:iCs w:val="1"/>
          <w:sz w:val="24"/>
          <w:szCs w:val="24"/>
          <w:rtl w:val="0"/>
        </w:rPr>
        <w:t xml:space="preserve">p=0.028</w:t>
      </w:r>
      <w:r w:rsidDel="00000000" w:rsidR="00000000" w:rsidRPr="00000000">
        <w:rPr>
          <w:rFonts w:ascii="Georgia" w:cs="Georgia" w:eastAsia="Georgia" w:hAnsi="Georgia"/>
          <w:sz w:val="24"/>
          <w:szCs w:val="24"/>
          <w:rtl w:val="0"/>
        </w:rPr>
        <w:t xml:space="preserve">), but not on the left IJV (</w:t>
      </w:r>
      <w:r w:rsidDel="00000000" w:rsidR="00000000" w:rsidRPr="00000000">
        <w:rPr>
          <w:rFonts w:ascii="Georgia" w:cs="Georgia" w:eastAsia="Georgia" w:hAnsi="Georgia"/>
          <w:i w:val="1"/>
          <w:iCs w:val="1"/>
          <w:sz w:val="24"/>
          <w:szCs w:val="24"/>
          <w:rtl w:val="0"/>
        </w:rPr>
        <w:t xml:space="preserve">p=0.6</w:t>
      </w:r>
      <w:r w:rsidDel="00000000" w:rsidR="00000000" w:rsidRPr="00000000">
        <w:rPr>
          <w:rFonts w:ascii="Georgia" w:cs="Georgia" w:eastAsia="Georgia" w:hAnsi="Georgia"/>
          <w:sz w:val="24"/>
          <w:szCs w:val="24"/>
          <w:rtl w:val="0"/>
        </w:rPr>
        <w:t xml:space="preserve">) or on the bi-jugular average (</w:t>
      </w:r>
      <w:r w:rsidDel="00000000" w:rsidR="00000000" w:rsidRPr="00000000">
        <w:rPr>
          <w:rFonts w:ascii="Georgia" w:cs="Georgia" w:eastAsia="Georgia" w:hAnsi="Georgia"/>
          <w:i w:val="1"/>
          <w:iCs w:val="1"/>
          <w:sz w:val="24"/>
          <w:szCs w:val="24"/>
          <w:rtl w:val="0"/>
        </w:rPr>
        <w:t xml:space="preserve">p=0.29</w:t>
      </w:r>
      <w:r w:rsidDel="00000000" w:rsidR="00000000" w:rsidRPr="00000000">
        <w:rPr>
          <w:rFonts w:ascii="Georgia" w:cs="Georgia" w:eastAsia="Georgia" w:hAnsi="Georgia"/>
          <w:sz w:val="24"/>
          <w:szCs w:val="24"/>
          <w:rtl w:val="0"/>
        </w:rPr>
        <w:t xml:space="preserve">, Figure 1B). The EDC was significantly different between the pre- and post-treatment TDCs on the right (</w:t>
      </w:r>
      <w:r w:rsidDel="00000000" w:rsidR="00000000" w:rsidRPr="00000000">
        <w:rPr>
          <w:rFonts w:ascii="Georgia" w:cs="Georgia" w:eastAsia="Georgia" w:hAnsi="Georgia"/>
          <w:i w:val="1"/>
          <w:iCs w:val="1"/>
          <w:sz w:val="24"/>
          <w:szCs w:val="24"/>
          <w:rtl w:val="0"/>
        </w:rPr>
        <w:t xml:space="preserve">p=0.027)</w:t>
      </w:r>
      <w:r w:rsidDel="00000000" w:rsidR="00000000" w:rsidRPr="00000000">
        <w:rPr>
          <w:rFonts w:ascii="Georgia" w:cs="Georgia" w:eastAsia="Georgia" w:hAnsi="Georgia"/>
          <w:sz w:val="24"/>
          <w:szCs w:val="24"/>
          <w:rtl w:val="0"/>
        </w:rPr>
        <w:t xml:space="preserve">, left (</w:t>
      </w:r>
      <w:r w:rsidDel="00000000" w:rsidR="00000000" w:rsidRPr="00000000">
        <w:rPr>
          <w:rFonts w:ascii="Georgia" w:cs="Georgia" w:eastAsia="Georgia" w:hAnsi="Georgia"/>
          <w:i w:val="1"/>
          <w:iCs w:val="1"/>
          <w:sz w:val="24"/>
          <w:szCs w:val="24"/>
          <w:rtl w:val="0"/>
        </w:rPr>
        <w:t xml:space="preserve">p=0.003)</w:t>
      </w:r>
      <w:r w:rsidDel="00000000" w:rsidR="00000000" w:rsidRPr="00000000">
        <w:rPr>
          <w:rFonts w:ascii="Georgia" w:cs="Georgia" w:eastAsia="Georgia" w:hAnsi="Georgia"/>
          <w:sz w:val="24"/>
          <w:szCs w:val="24"/>
          <w:rtl w:val="0"/>
        </w:rPr>
        <w:t xml:space="preserve">, as well as the bi-jugular average (</w:t>
      </w:r>
      <w:r w:rsidDel="00000000" w:rsidR="00000000" w:rsidRPr="00000000">
        <w:rPr>
          <w:rFonts w:ascii="Georgia" w:cs="Georgia" w:eastAsia="Georgia" w:hAnsi="Georgia"/>
          <w:i w:val="1"/>
          <w:iCs w:val="1"/>
          <w:sz w:val="24"/>
          <w:szCs w:val="24"/>
          <w:rtl w:val="0"/>
        </w:rPr>
        <w:t xml:space="preserve">p=0.002</w:t>
      </w:r>
      <w:r w:rsidDel="00000000" w:rsidR="00000000" w:rsidRPr="00000000">
        <w:rPr>
          <w:rFonts w:ascii="Georgia" w:cs="Georgia" w:eastAsia="Georgia" w:hAnsi="Georgia"/>
          <w:sz w:val="24"/>
          <w:szCs w:val="24"/>
          <w:rtl w:val="0"/>
        </w:rPr>
        <w:t xml:space="preserve">, Figure 1C).</w:t>
      </w:r>
    </w:p>
    <w:p w:rsidR="00000000" w:rsidDel="00000000" w:rsidP="00000000" w:rsidRDefault="00000000" w:rsidRPr="00000000" w14:paraId="0000005B">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MTT was statistically significantly different between the pre- and post-treatment TDCs on the left IJV (</w:t>
      </w:r>
      <w:r w:rsidDel="00000000" w:rsidR="00000000" w:rsidRPr="00000000">
        <w:rPr>
          <w:rFonts w:ascii="Georgia" w:cs="Georgia" w:eastAsia="Georgia" w:hAnsi="Georgia"/>
          <w:i w:val="1"/>
          <w:iCs w:val="1"/>
          <w:sz w:val="24"/>
          <w:szCs w:val="24"/>
          <w:rtl w:val="0"/>
        </w:rPr>
        <w:t xml:space="preserve">p=0.002</w:t>
      </w:r>
      <w:r w:rsidDel="00000000" w:rsidR="00000000" w:rsidRPr="00000000">
        <w:rPr>
          <w:rFonts w:ascii="Georgia" w:cs="Georgia" w:eastAsia="Georgia" w:hAnsi="Georgia"/>
          <w:sz w:val="24"/>
          <w:szCs w:val="24"/>
          <w:rtl w:val="0"/>
        </w:rPr>
        <w:t xml:space="preserve">) as well as the bi-jugular average (</w:t>
      </w:r>
      <w:r w:rsidDel="00000000" w:rsidR="00000000" w:rsidRPr="00000000">
        <w:rPr>
          <w:rFonts w:ascii="Georgia" w:cs="Georgia" w:eastAsia="Georgia" w:hAnsi="Georgia"/>
          <w:i w:val="1"/>
          <w:iCs w:val="1"/>
          <w:sz w:val="24"/>
          <w:szCs w:val="24"/>
          <w:rtl w:val="0"/>
        </w:rPr>
        <w:t xml:space="preserve">p=0.007</w:t>
      </w:r>
      <w:r w:rsidDel="00000000" w:rsidR="00000000" w:rsidRPr="00000000">
        <w:rPr>
          <w:rFonts w:ascii="Georgia" w:cs="Georgia" w:eastAsia="Georgia" w:hAnsi="Georgia"/>
          <w:sz w:val="24"/>
          <w:szCs w:val="24"/>
          <w:rtl w:val="0"/>
        </w:rPr>
        <w:t xml:space="preserve">), but not on the right IJV (</w:t>
      </w:r>
      <w:r w:rsidDel="00000000" w:rsidR="00000000" w:rsidRPr="00000000">
        <w:rPr>
          <w:rFonts w:ascii="Georgia" w:cs="Georgia" w:eastAsia="Georgia" w:hAnsi="Georgia"/>
          <w:i w:val="1"/>
          <w:iCs w:val="1"/>
          <w:sz w:val="24"/>
          <w:szCs w:val="24"/>
          <w:rtl w:val="0"/>
        </w:rPr>
        <w:t xml:space="preserve">p=0.33</w:t>
      </w:r>
      <w:r w:rsidDel="00000000" w:rsidR="00000000" w:rsidRPr="00000000">
        <w:rPr>
          <w:rFonts w:ascii="Georgia" w:cs="Georgia" w:eastAsia="Georgia" w:hAnsi="Georgia"/>
          <w:sz w:val="24"/>
          <w:szCs w:val="24"/>
          <w:rtl w:val="0"/>
        </w:rPr>
        <w:t xml:space="preserve">, Supplementary Figure 2). The MTT and EDC were also found to be significantly correlated to each other (</w:t>
      </w:r>
      <w:r w:rsidDel="00000000" w:rsidR="00000000" w:rsidRPr="00000000">
        <w:rPr>
          <w:rFonts w:ascii="Georgia" w:cs="Georgia" w:eastAsia="Georgia" w:hAnsi="Georgia"/>
          <w:i w:val="1"/>
          <w:iCs w:val="1"/>
          <w:sz w:val="24"/>
          <w:szCs w:val="24"/>
          <w:rtl w:val="0"/>
        </w:rPr>
        <w:t xml:space="preserve">p&lt;0.0001</w:t>
      </w:r>
      <w:r w:rsidDel="00000000" w:rsidR="00000000" w:rsidRPr="00000000">
        <w:rPr>
          <w:rFonts w:ascii="Georgia" w:cs="Georgia" w:eastAsia="Georgia" w:hAnsi="Georgia"/>
          <w:sz w:val="24"/>
          <w:szCs w:val="24"/>
          <w:rtl w:val="0"/>
        </w:rPr>
        <w:t xml:space="preserve">, Supplementary Figure 3), confirming the expectation that these two variables are just different ways of representing the TDC washout phase, and therefore, are not independent of each other. Subsequent analysis was restricted to the EDC parameter. </w:t>
      </w:r>
    </w:p>
    <w:p w:rsidR="00000000" w:rsidDel="00000000" w:rsidP="00000000" w:rsidRDefault="00000000" w:rsidRPr="00000000" w14:paraId="0000005C">
      <w:pPr>
        <w:pStyle w:val="Heading2"/>
        <w:keepNext w:val="0"/>
        <w:keepLines w:val="0"/>
        <w:spacing w:after="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Medication Burden</w:t>
      </w:r>
    </w:p>
    <w:p w:rsidR="00000000" w:rsidDel="00000000" w:rsidP="00000000" w:rsidRDefault="00000000" w:rsidRPr="00000000" w14:paraId="0000005D">
      <w:pPr>
        <w:jc w:val="both"/>
        <w:rPr>
          <w:rFonts w:ascii="Georgia" w:cs="Georgia" w:eastAsia="Georgia" w:hAnsi="Georgia"/>
          <w:sz w:val="24"/>
          <w:szCs w:val="24"/>
        </w:rPr>
      </w:pPr>
      <w:sdt>
        <w:sdtPr>
          <w:id w:val="1905383077"/>
          <w:tag w:val="goog_rdk_2"/>
        </w:sdtPr>
        <w:sdtContent>
          <w:r w:rsidDel="00000000" w:rsidR="00000000" w:rsidRPr="00000000">
            <w:rPr>
              <w:rFonts w:ascii="Gungsuh" w:cs="Gungsuh" w:eastAsia="Gungsuh" w:hAnsi="Gungsuh"/>
              <w:sz w:val="24"/>
              <w:szCs w:val="24"/>
              <w:rtl w:val="0"/>
            </w:rPr>
            <w:t xml:space="preserve">Among patients receiving vasoactive therapy at baseline (n = 24), mean midodrine-equivalent dose (MEQ) decreased from 124.2 to 39.7. This represents a 68.0% decrease in medication burden. Eleven patients (45.8%) discontinued these medications entirely. Eighteen patients (75.0%) achieved ≥50% reduction in total MEQ. In the paired MEQ analysis including all available pairs (n=24), the mean absolute MEQ reduction was 80.9 (95% CI, 43.6 to 118.2)</w:t>
          </w:r>
        </w:sdtContent>
      </w:sdt>
      <w:r w:rsidDel="00000000" w:rsidR="00000000" w:rsidRPr="00000000">
        <w:rPr>
          <w:rFonts w:ascii="Georgia" w:cs="Georgia" w:eastAsia="Georgia" w:hAnsi="Georgia"/>
          <w:sz w:val="24"/>
          <w:szCs w:val="24"/>
          <w:rtl w:val="0"/>
        </w:rPr>
        <w:t xml:space="preserve">, and this reduction was statistically significant (p&lt;0.0001; Figure 1D).</w: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jc w:val="both"/>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Clinical Outcomes (CGI-I)</w:t>
      </w:r>
      <w:r w:rsidDel="00000000" w:rsidR="00000000" w:rsidRPr="00000000">
        <w:rPr>
          <w:rtl w:val="0"/>
        </w:rPr>
      </w:r>
    </w:p>
    <w:p w:rsidR="00000000" w:rsidDel="00000000" w:rsidP="00000000" w:rsidRDefault="00000000" w:rsidRPr="00000000" w14:paraId="0000005F">
      <w:pPr>
        <w:spacing w:after="12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ROC analysis showed a statistically significant relationship between the SBP drop and CGI. The test suggests that a 20.4% improvement in orthostatic SBP drop is the optimal threshold for predicting whether a patient will feel symptomatically better with a sensitivity of 64.1% and specificity of 87.5% (Fisher's exact test p=0.047, Figure 2).</w:t>
      </w:r>
    </w:p>
    <w:p w:rsidR="00000000" w:rsidDel="00000000" w:rsidP="00000000" w:rsidRDefault="00000000" w:rsidRPr="00000000" w14:paraId="0000006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Univariate correlations between SBP Drop, MEQ, and EDC were not statistically significant: SBP Drop vs MEQ (Spearman r=0.24, p=0.26, n=23), EDC vs MEQ (Spearman r=-0.35, p=0.10, n=23), EDC vs SBP Drop (Spearman r = -0.07, p=0.63, n=43). Fisher's exact test for the ROC contingency tables between EDC and CGI (p=0.06), or the MEQ and CGI (p=0.22) showed no significant relation.  </w:t>
      </w:r>
    </w:p>
    <w:p w:rsidR="00000000" w:rsidDel="00000000" w:rsidP="00000000" w:rsidRDefault="00000000" w:rsidRPr="00000000" w14:paraId="00000061">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Safety</w:t>
      </w:r>
    </w:p>
    <w:p w:rsidR="00000000" w:rsidDel="00000000" w:rsidP="00000000" w:rsidRDefault="00000000" w:rsidRPr="00000000" w14:paraId="00000063">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Within the 52-patient cohort, there was no procedure-related mortality. One major adverse event (1.9%) occurred and was directly related to stenting: bilateral internal jugular vein thrombosis, successfully managed with recanalization, supplemental stenting, and coiling of the left condylar emissary vein. An associated ipsilateral hypoglossal nerve palsy showed substantial resolution during follow-up. The patient reported complete resolution of orthostatic symptoms.</w:t>
      </w:r>
    </w:p>
    <w:p w:rsidR="00000000" w:rsidDel="00000000" w:rsidP="00000000" w:rsidRDefault="00000000" w:rsidRPr="00000000" w14:paraId="00000065">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additional serious non-device-related peri-procedural event occurred: an acute exacerbation of chronic obstructive pulmonary disease (COPD), likely related to endotracheal intubation. This required inpatient admission, with symptom resolution by the next day; at follow-up, the patient reported complete resolution of orthostatic symptoms.</w:t>
      </w:r>
    </w:p>
    <w:p w:rsidR="00000000" w:rsidDel="00000000" w:rsidP="00000000" w:rsidRDefault="00000000" w:rsidRPr="00000000" w14:paraId="00000067">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cases of vessel perforation, deployment failure, acute stent fracture, or intra-procedural stent migration were observed. No significant access-site complications or systemic hemorrhagic events were identified.</w:t>
      </w:r>
      <w:r w:rsidDel="00000000" w:rsidR="00000000" w:rsidRPr="00000000">
        <w:rPr>
          <w:rtl w:val="0"/>
        </w:rPr>
      </w:r>
    </w:p>
    <w:p w:rsidR="00000000" w:rsidDel="00000000" w:rsidP="00000000" w:rsidRDefault="00000000" w:rsidRPr="00000000" w14:paraId="00000069">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A">
      <w:pPr>
        <w:pStyle w:val="Title"/>
        <w:keepNext w:val="0"/>
        <w:keepLines w:val="0"/>
        <w:widowControl w:val="0"/>
        <w:pBdr>
          <w:top w:space="0" w:sz="0" w:val="nil"/>
          <w:left w:space="0" w:sz="0" w:val="nil"/>
          <w:bottom w:space="0" w:sz="0" w:val="nil"/>
          <w:right w:space="0" w:sz="0" w:val="nil"/>
          <w:between w:space="0" w:sz="0" w:val="nil"/>
        </w:pBdr>
        <w:spacing w:after="0" w:lineRule="auto"/>
        <w:jc w:val="both"/>
        <w:rPr>
          <w:rFonts w:ascii="Georgia" w:cs="Georgia" w:eastAsia="Georgia" w:hAnsi="Georgia"/>
          <w:sz w:val="28"/>
          <w:szCs w:val="28"/>
        </w:rPr>
      </w:pPr>
      <w:r w:rsidDel="00000000" w:rsidR="00000000" w:rsidRPr="00000000">
        <w:rPr>
          <w:rFonts w:ascii="Georgia" w:cs="Georgia" w:eastAsia="Georgia" w:hAnsi="Georgia"/>
          <w:b w:val="1"/>
          <w:bCs w:val="1"/>
          <w:color w:val="000000"/>
          <w:sz w:val="28"/>
          <w:szCs w:val="28"/>
          <w:rtl w:val="0"/>
        </w:rPr>
        <w:t xml:space="preserve">Discussion</w:t>
      </w:r>
      <w:r w:rsidDel="00000000" w:rsidR="00000000" w:rsidRPr="00000000">
        <w:rPr>
          <w:rtl w:val="0"/>
        </w:rPr>
      </w:r>
    </w:p>
    <w:p w:rsidR="00000000" w:rsidDel="00000000" w:rsidP="00000000" w:rsidRDefault="00000000" w:rsidRPr="00000000" w14:paraId="0000006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this prospective interventional study, supracardiac venous angioplasty and stenting were associated with robust clinical, pharmacologic, and physiologic improvements in patients with refractory orthostatic hypotension. These multidomain response patterns are shown in Figure 3. Over 70% of patients demonstrated improved orthostatic blood pressure regulation, while more than 80% reported global symptomatic improvement after the procedure. Crucially, 45.8% of patients previously dependent on vasoactive therapy were able to discontinue all medications entirely, remaining stable with a zero prescription burden of orthostatic medications at follow-up. These findings of improvement across multiple domains support supracardiac venous outflow as a modifiable and clinically relevant contributor to orthostatic syndromes.</w:t>
      </w:r>
    </w:p>
    <w:p w:rsidR="00000000" w:rsidDel="00000000" w:rsidP="00000000" w:rsidRDefault="00000000" w:rsidRPr="00000000" w14:paraId="0000006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6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Although univariate correlations between individual physiologic markers and clinical response were modest, multivariate binary logistic regression revealed a more informative "positive signal." When the log ratio of the exponential decay constant (EDC) and percent change in orthostatic SBP drop were used as predictor variables, the predictive performance for clinical global improvement (CGI-I </w:t>
      </w:r>
      <w:r w:rsidDel="00000000" w:rsidR="00000000" w:rsidRPr="00000000">
        <w:rPr>
          <w:rFonts w:ascii="Georgia" w:cs="Georgia" w:eastAsia="Georgia" w:hAnsi="Georgia"/>
          <w:sz w:val="24"/>
          <w:szCs w:val="24"/>
          <w:u w:val="single"/>
          <w:rtl w:val="0"/>
        </w:rPr>
        <w:t xml:space="preserve">&lt;</w:t>
      </w:r>
      <w:r w:rsidDel="00000000" w:rsidR="00000000" w:rsidRPr="00000000">
        <w:rPr>
          <w:rFonts w:ascii="Georgia" w:cs="Georgia" w:eastAsia="Georgia" w:hAnsi="Georgia"/>
          <w:sz w:val="24"/>
          <w:szCs w:val="24"/>
          <w:rtl w:val="0"/>
        </w:rPr>
        <w:t xml:space="preserve">3) reached near-significance (EDC: p=0.065, OR=4.3; BP: p=0.07, OR=2.2). This suggests that autonomic restoration following venous stenting is likely a multidimensional process that neither brachial BP nor angiographic transit alone can fully capture. The observed lack of statistical significance may be attributable to the modest sample size (n=52) rather than a lack of biological effect, as the odds ratios indicate a substantial predictive trend.</w:t>
      </w:r>
    </w:p>
    <w:p w:rsidR="00000000" w:rsidDel="00000000" w:rsidP="00000000" w:rsidRDefault="00000000" w:rsidRPr="00000000" w14:paraId="0000006E">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significant relationship between angiographic TDC parameters and clinical outcomes could facilitate real-time procedural guidance. If intraoperative TDC improvements consistently translate to long-term clinical success, interventionalists could use these quantitative markers to decide on the table whether a stent should be extended or if additional angioplasty is required to optimize outflow—a paradigm shift from purely morphological (visual) assessment to functional hemodynamic endpoint assessment.</w:t>
      </w:r>
    </w:p>
    <w:p w:rsidR="00000000" w:rsidDel="00000000" w:rsidP="00000000" w:rsidRDefault="00000000" w:rsidRPr="00000000" w14:paraId="00000070">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&gt;20% reduction in orthostatic SBP drop from pre- to post-treatment was associated with clinical improvement (CGI </w:t>
      </w:r>
      <w:r w:rsidDel="00000000" w:rsidR="00000000" w:rsidRPr="00000000">
        <w:rPr>
          <w:rFonts w:ascii="Georgia" w:cs="Georgia" w:eastAsia="Georgia" w:hAnsi="Georgia"/>
          <w:sz w:val="24"/>
          <w:szCs w:val="24"/>
          <w:u w:val="single"/>
          <w:rtl w:val="0"/>
        </w:rPr>
        <w:t xml:space="preserve">&lt;</w:t>
      </w:r>
      <w:r w:rsidDel="00000000" w:rsidR="00000000" w:rsidRPr="00000000">
        <w:rPr>
          <w:rFonts w:ascii="Georgia" w:cs="Georgia" w:eastAsia="Georgia" w:hAnsi="Georgia"/>
          <w:sz w:val="24"/>
          <w:szCs w:val="24"/>
          <w:rtl w:val="0"/>
        </w:rPr>
        <w:t xml:space="preserve">3). Expressing change as a percentage, rather than an absolute mmHg difference, helps account for heterogeneity in baseline disease burden (e.g., a 15 mmHg improvement has different clinical relevance for a baseline drop of 30 mmHg versus 70 mmHg).</w:t>
      </w:r>
    </w:p>
    <w:p w:rsidR="00000000" w:rsidDel="00000000" w:rsidP="00000000" w:rsidRDefault="00000000" w:rsidRPr="00000000" w14:paraId="00000072">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 the individual level, however, we observed discordance between peripheral BP improvement and symptom relief (Figure 4): some patients showed improved supine-to-standing BP drops without symptomatic benefit, while others reported symptomatic improvement without a measurable reduction in BP drop. This pattern, commonly observed in orthostatic syndromes, suggests that cuff-based SBP alone may not fully capture underlying physiologic recovery in cerebral perfusion and neurovascular homeostasis.</w: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Mechanistic Framework for Autonomic Restoration:</w:t>
      </w:r>
    </w:p>
    <w:p w:rsidR="00000000" w:rsidDel="00000000" w:rsidP="00000000" w:rsidRDefault="00000000" w:rsidRPr="00000000" w14:paraId="0000007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association across physiologic, pharmacologic, and clinical domains may reflect restoration of several interrelated mechanisms disrupted by supracardiac venous obstruction. First, relieving supracardiac resistance may improve venous return and cardiac preload, particularly in the upright position, thereby supporting cardiac output and helping preserve cerebral perfusion during orthostatic stress. This would provide a straightforward explanation for the observed improvements in blood pressure regulation and reduced medication dependence.</w:t>
      </w:r>
    </w:p>
    <w:p w:rsidR="00000000" w:rsidDel="00000000" w:rsidP="00000000" w:rsidRDefault="00000000" w:rsidRPr="00000000" w14:paraId="00000076">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 correction of venous obstruction may improve metabolic homeostasis within central autonomic networks. If venous congestion slows microcirculatory transit and impairs clearance of neuroactive metabolites, then restoring outflow could improve the function of brainstem autonomic centers involved in baroreflex control and vestibulo-sympathetic signaling. Commonly referred to as the “Fick Principle” </w:t>
      </w:r>
      <w:hyperlink r:id="rId26">
        <w:r w:rsidDel="00000000" w:rsidR="00000000" w:rsidRPr="00000000">
          <w:rPr>
            <w:rFonts w:ascii="Georgia" w:cs="Georgia" w:eastAsia="Georgia" w:hAnsi="Georgia"/>
            <w:sz w:val="24"/>
            <w:szCs w:val="24"/>
            <w:rtl w:val="0"/>
          </w:rPr>
          <w:t xml:space="preserve">(24)</w:t>
        </w:r>
      </w:hyperlink>
      <w:r w:rsidDel="00000000" w:rsidR="00000000" w:rsidRPr="00000000">
        <w:rPr>
          <w:rFonts w:ascii="Georgia" w:cs="Georgia" w:eastAsia="Georgia" w:hAnsi="Georgia"/>
          <w:sz w:val="24"/>
          <w:szCs w:val="24"/>
          <w:rtl w:val="0"/>
        </w:rPr>
        <w:t xml:space="preserve">, under this model, symptom improvement would not simply reflect higher measured blood pressure, but better overall autonomic performance.</w:t>
      </w:r>
    </w:p>
    <w:p w:rsidR="00000000" w:rsidDel="00000000" w:rsidP="00000000" w:rsidRDefault="00000000" w:rsidRPr="00000000" w14:paraId="00000077">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Third, chronic supracardiac venous congestion may contribute to deconditioning of the vestibulo-sympathetic reflex (VSR). By creating a persistently abnormal hemodynamic environment, venous obstruction could blunt the normal anticipatory sympathetic response to standing </w:t>
      </w:r>
      <w:hyperlink r:id="rId27">
        <w:r w:rsidDel="00000000" w:rsidR="00000000" w:rsidRPr="00000000">
          <w:rPr>
            <w:rFonts w:ascii="Georgia" w:cs="Georgia" w:eastAsia="Georgia" w:hAnsi="Georgia"/>
            <w:sz w:val="24"/>
            <w:szCs w:val="24"/>
            <w:rtl w:val="0"/>
          </w:rPr>
          <w:t xml:space="preserve">(16)</w:t>
        </w:r>
      </w:hyperlink>
      <w:r w:rsidDel="00000000" w:rsidR="00000000" w:rsidRPr="00000000">
        <w:rPr>
          <w:rFonts w:ascii="Georgia" w:cs="Georgia" w:eastAsia="Georgia" w:hAnsi="Georgia"/>
          <w:sz w:val="24"/>
          <w:szCs w:val="24"/>
          <w:rtl w:val="0"/>
        </w:rPr>
        <w:t xml:space="preserve">. Relief of that obstruction may permit partial “re-priming” of this reflex, improving tolerance to postural change and helping explain gains in both objective and subjective outcomes.</w:t>
      </w:r>
    </w:p>
    <w:p w:rsidR="00000000" w:rsidDel="00000000" w:rsidP="00000000" w:rsidRDefault="00000000" w:rsidRPr="00000000" w14:paraId="00000078">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Fourth, venous obstruction may lock the system into an abnormal pattern of static venous tone, with impaired dynamic responses during orthostatic challenge. In this framework, stenting may not merely relieve a fixed narrowing, but restore more normal venous autonomic responses, allowing better adaptation to positional stress. </w:t>
      </w:r>
    </w:p>
    <w:p w:rsidR="00000000" w:rsidDel="00000000" w:rsidP="00000000" w:rsidRDefault="00000000" w:rsidRPr="00000000" w14:paraId="00000079">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Finally, improvement in glymphatic and perivenous clearance may also contribute. Elevated venous pressures may impede waste clearance in perivenous spaces, and restoration of supracardiac outflow could relieve this congestion </w:t>
      </w:r>
      <w:hyperlink r:id="rId28">
        <w:r w:rsidDel="00000000" w:rsidR="00000000" w:rsidRPr="00000000">
          <w:rPr>
            <w:rFonts w:ascii="Georgia" w:cs="Georgia" w:eastAsia="Georgia" w:hAnsi="Georgia"/>
            <w:sz w:val="24"/>
            <w:szCs w:val="24"/>
            <w:rtl w:val="0"/>
          </w:rPr>
          <w:t xml:space="preserve">(26)</w:t>
        </w:r>
      </w:hyperlink>
      <w:r w:rsidDel="00000000" w:rsidR="00000000" w:rsidRPr="00000000">
        <w:rPr>
          <w:rFonts w:ascii="Georgia" w:cs="Georgia" w:eastAsia="Georgia" w:hAnsi="Georgia"/>
          <w:sz w:val="24"/>
          <w:szCs w:val="24"/>
          <w:rtl w:val="0"/>
        </w:rPr>
        <w:t xml:space="preserve">. This fits with the anecdotal patient reports of improvement in vision, hearing, sleep, balance, facial tone, erectile dysfunction and cognition after the procedure. Although more speculative, this mechanism offers a biologically plausible explanation for symptomatic improvement that extends beyond simple cuff blood pressure measurements. </w:t>
      </w:r>
    </w:p>
    <w:p w:rsidR="00000000" w:rsidDel="00000000" w:rsidP="00000000" w:rsidRDefault="00000000" w:rsidRPr="00000000" w14:paraId="0000007A">
      <w:pPr>
        <w:spacing w:after="240" w:befor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Taken together, these mechanisms suggest that supracardiac venous outflow obstruction may impair orthostatic tolerance through effects on preload, autonomic regulatory function, venous capacitance dynamics, and central metabolic clearance. We suggest its correction produces parallel improvements across physiologic, pharmacologic, and symptomatic domains, supporting the concept that this lesion is not merely anatomical but functionally relevant.</w:t>
      </w:r>
    </w:p>
    <w:p w:rsidR="00000000" w:rsidDel="00000000" w:rsidP="00000000" w:rsidRDefault="00000000" w:rsidRPr="00000000" w14:paraId="0000007B">
      <w:pPr>
        <w:pStyle w:val="Heading2"/>
        <w:keepNext w:val="0"/>
        <w:keepLines w:val="0"/>
        <w:spacing w:after="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Clinical Implications</w:t>
      </w:r>
    </w:p>
    <w:p w:rsidR="00000000" w:rsidDel="00000000" w:rsidP="00000000" w:rsidRDefault="00000000" w:rsidRPr="00000000" w14:paraId="0000007C">
      <w:pPr>
        <w:jc w:val="both"/>
        <w:rPr>
          <w:rFonts w:ascii="Georgia" w:cs="Georgia" w:eastAsia="Georgia" w:hAnsi="Georgia"/>
          <w:sz w:val="24"/>
          <w:szCs w:val="24"/>
        </w:rPr>
      </w:pPr>
      <w:sdt>
        <w:sdtPr>
          <w:id w:val="-397962086"/>
          <w:tag w:val="goog_rdk_3"/>
        </w:sdtPr>
        <w:sdtContent>
          <w:r w:rsidDel="00000000" w:rsidR="00000000" w:rsidRPr="00000000">
            <w:rPr>
              <w:rFonts w:ascii="Gungsuh" w:cs="Gungsuh" w:eastAsia="Gungsuh" w:hAnsi="Gungsuh"/>
              <w:sz w:val="24"/>
              <w:szCs w:val="24"/>
              <w:rtl w:val="0"/>
            </w:rPr>
            <w:t xml:space="preserve">The reduction in medication burden observed in this study is perhaps the most meaningful outcome for patients. Orthostatic medications like midodrine and fludrocortisone are notoriously poorly tolerated, often causing supine hypertension and fluid retention that limits their utility. The ability of 75% of our medicated cohort to achieve a ≥50% reduction in total medication burden—a threshold widely recognized as a substantial therapeutic milestone </w:t>
          </w:r>
        </w:sdtContent>
      </w:sdt>
      <w:hyperlink r:id="rId29">
        <w:r w:rsidDel="00000000" w:rsidR="00000000" w:rsidRPr="00000000">
          <w:rPr>
            <w:rFonts w:ascii="Georgia" w:cs="Georgia" w:eastAsia="Georgia" w:hAnsi="Georgia"/>
            <w:sz w:val="24"/>
            <w:szCs w:val="24"/>
            <w:rtl w:val="0"/>
          </w:rPr>
          <w:t xml:space="preserve">(27)</w:t>
        </w:r>
      </w:hyperlink>
      <w:r w:rsidDel="00000000" w:rsidR="00000000" w:rsidRPr="00000000">
        <w:rPr>
          <w:rFonts w:ascii="Georgia" w:cs="Georgia" w:eastAsia="Georgia" w:hAnsi="Georgia"/>
          <w:sz w:val="24"/>
          <w:szCs w:val="24"/>
          <w:rtl w:val="0"/>
        </w:rPr>
        <w:t xml:space="preserve">—represents a dramatic improvement in safety and quality of life. Achieving "pharmaceutical independence" in nearly half of the cohort suggests that correcting the upstream venous obstruction can, in some cases, entirely mitigate the need for downstream pharmacological compensatory agents.</w:t>
      </w:r>
    </w:p>
    <w:p w:rsidR="00000000" w:rsidDel="00000000" w:rsidP="00000000" w:rsidRDefault="00000000" w:rsidRPr="00000000" w14:paraId="0000007D">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clinician-rated global improvement (CGI-I) data further reinforces the clinical relevance of these findings, with over </w:t>
      </w:r>
      <w:sdt>
        <w:sdtPr>
          <w:id w:val="-1105813527"/>
          <w:tag w:val="goog_rdk_4"/>
        </w:sdtPr>
        <w:sdtContent>
          <w:r w:rsidDel="00000000" w:rsidR="00000000" w:rsidRPr="00000000">
            <w:rPr>
              <w:rFonts w:ascii="Gungsuh" w:cs="Gungsuh" w:eastAsia="Gungsuh" w:hAnsi="Gungsuh"/>
              <w:sz w:val="24"/>
              <w:szCs w:val="24"/>
              <w:rtl w:val="0"/>
            </w:rPr>
            <w:t xml:space="preserve">80% reporting symptomatic gains (CGI-I≤3) and </w:t>
          </w:r>
        </w:sdtContent>
      </w:sdt>
      <w:sdt>
        <w:sdtPr>
          <w:id w:val="1471627358"/>
          <w:tag w:val="goog_rdk_5"/>
        </w:sdtPr>
        <w:sdtContent>
          <w:r w:rsidDel="00000000" w:rsidR="00000000" w:rsidRPr="00000000">
            <w:rPr>
              <w:rFonts w:ascii="Gungsuh" w:cs="Gungsuh" w:eastAsia="Gungsuh" w:hAnsi="Gungsuh"/>
              <w:sz w:val="24"/>
              <w:szCs w:val="24"/>
              <w:rtl w:val="0"/>
            </w:rPr>
            <w:t xml:space="preserve">60% of patients achieving even more improvement (CGI-I≤2). While orthostatic SBP improvement was significantly associated with clinical response, this relationship was not uniform across the cohort, suggesting that brachial SBP alone may not fully capture improvements in cerebral perfusion dynamics or orthostatic tolerance.</w:t>
          </w:r>
        </w:sdtContent>
      </w:sdt>
    </w:p>
    <w:p w:rsidR="00000000" w:rsidDel="00000000" w:rsidP="00000000" w:rsidRDefault="00000000" w:rsidRPr="00000000" w14:paraId="0000007F">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absence of intra-procedural stent migration in this cohort represents a critical safety finding. The open-cell architecture and offset connection points characteristic of the Abre stent likely provide superior wall apposition and longitudinal stability. In contrast to our past experience—where shorter, closed-cell designs demonstrated a higher susceptibility to intra-procedural migration—our transition to longer, open-cell stents was likely a decisive factor in preventing device displacement in this study. Mitigating the risk of migration to the heart or pulmonary vasculature is paramount for avoiding the severe morbidity associated with central venous embolization—a safety objective that was successfully achieved in this study through strategic device selection and technical optimization.</w:t>
      </w:r>
    </w:p>
    <w:p w:rsidR="00000000" w:rsidDel="00000000" w:rsidP="00000000" w:rsidRDefault="00000000" w:rsidRPr="00000000" w14:paraId="00000081">
      <w:pPr>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8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findings expand upon earlier preliminary reports describing improvement in orthostatic blood pressure following venous angioplasty or stenting in a smaller cohort </w:t>
      </w:r>
      <w:hyperlink r:id="rId30">
        <w:r w:rsidDel="00000000" w:rsidR="00000000" w:rsidRPr="00000000">
          <w:rPr>
            <w:rFonts w:ascii="Georgia" w:cs="Georgia" w:eastAsia="Georgia" w:hAnsi="Georgia"/>
            <w:sz w:val="24"/>
            <w:szCs w:val="24"/>
            <w:rtl w:val="0"/>
          </w:rPr>
          <w:t xml:space="preserve">(19)</w:t>
        </w:r>
      </w:hyperlink>
      <w:r w:rsidDel="00000000" w:rsidR="00000000" w:rsidRPr="00000000">
        <w:rPr>
          <w:rFonts w:ascii="Georgia" w:cs="Georgia" w:eastAsia="Georgia" w:hAnsi="Georgia"/>
          <w:sz w:val="24"/>
          <w:szCs w:val="24"/>
          <w:rtl w:val="0"/>
        </w:rPr>
        <w:t xml:space="preserve">. By evaluating a larger treated population and incorporating multidomain outcome assessment, including physiologic, pharmacologic, angiographic, and clinical endpoints, the present study provides more comprehensive evidence that the benefits of venous intervention extend beyond isolated hemodynamic measurements and may translate into meaningful clinical improvement. </w:t>
      </w:r>
      <w:r w:rsidDel="00000000" w:rsidR="00000000" w:rsidRPr="00000000">
        <w:rPr>
          <w:rFonts w:ascii="Georgia" w:cs="Georgia" w:eastAsia="Georgia" w:hAnsi="Georgia"/>
          <w:sz w:val="24"/>
          <w:szCs w:val="24"/>
          <w:rtl w:val="0"/>
        </w:rPr>
        <w:t xml:space="preserve">This study’s findings are likely most generalizable to adults with severe, function-limiting orthostatic hypotension who are refractory to, or intolerant of, standard medical therapy. </w: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Limitations</w:t>
      </w:r>
    </w:p>
    <w:p w:rsidR="00000000" w:rsidDel="00000000" w:rsidP="00000000" w:rsidRDefault="00000000" w:rsidRPr="00000000" w14:paraId="00000084">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study is limited by its single-arm design and the absence of a control group, which limits causal inference and leaves residual confounding unaddressed. The referral-based cohort from a specialized center may also introduce selection bias. Follow-up timing and blood pressure measurement windows were variable across patients, and complete paired data were not available for all endpoints, which may affect precision and generalizability of effect estimates. In addition, CGI-I was primarily patient-reported and, in a small number of cases, physician-assigned because of unrelated death before final follow-up. Finally, although the observed effect sizes were clinically meaningful, the sample size limits statistical power for multivariable modeling and subgroup analyses. TDC-derived metrics were obtained from retrospective post-processing and may be influenced by ROI placement, image acquisition variability, and frame-timing differences; therefore, their procedural reproducibility and real-time decision utility require prospective standardization and external validation. Future work should prioritize multicenter, randomized, sham-controlled studies with standardized follow-up, pre-specified sensitivity analyses, and long-term stent patency assessment.</w:t>
      </w:r>
    </w:p>
    <w:p w:rsidR="00000000" w:rsidDel="00000000" w:rsidP="00000000" w:rsidRDefault="00000000" w:rsidRPr="00000000" w14:paraId="00000086">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7">
      <w:pPr>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Conclusions</w:t>
      </w:r>
    </w:p>
    <w:p w:rsidR="00000000" w:rsidDel="00000000" w:rsidP="00000000" w:rsidRDefault="00000000" w:rsidRPr="00000000" w14:paraId="0000008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this larger-scale evaluation of the STANDUP study, supracardiac venous angioplasty and stenting were found to be safe and low-risk, demonstrating a significant "positive signal" across multiple domains. While improvement in orthostatic systolic BP drop was the primary parameter significantly associated with global clinical improvement (p=0.047), the observed heterogeneity of response across other domains highlights the multidimensional nature of orthostatic disorders. This reinforces the need for comprehensive outcome assessments beyond traditional cuff-based measurements and underscores the potential for more sophisticated, functional metrics, such as TDC parameters, to capture the full scope of autonomic restoration. These results suggest that supracardiac venous outflow obstruction is a modifiable contributor to the complex pathophysiology of orthostatic hypotension, offering a promising therapeutic pathway for patients refractory to conventional management.</w:t>
      </w:r>
    </w:p>
    <w:p w:rsidR="00000000" w:rsidDel="00000000" w:rsidP="00000000" w:rsidRDefault="00000000" w:rsidRPr="00000000" w14:paraId="00000089">
      <w:pPr>
        <w:jc w:val="both"/>
        <w:rPr>
          <w:rFonts w:ascii="Georgia" w:cs="Georgia" w:eastAsia="Georgia" w:hAnsi="Georg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A">
      <w:pPr>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8B">
      <w:pPr>
        <w:jc w:val="both"/>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References</w:t>
      </w:r>
    </w:p>
    <w:p w:rsidR="00000000" w:rsidDel="00000000" w:rsidP="00000000" w:rsidRDefault="00000000" w:rsidRPr="00000000" w14:paraId="0000008C">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D">
      <w:pPr>
        <w:spacing w:after="240" w:line="240" w:lineRule="auto"/>
        <w:ind w:left="264" w:firstLine="0"/>
        <w:jc w:val="both"/>
        <w:rPr>
          <w:rFonts w:ascii="Georgia" w:cs="Georgia" w:eastAsia="Georgia" w:hAnsi="Georgia"/>
          <w:sz w:val="24"/>
          <w:szCs w:val="24"/>
        </w:rPr>
      </w:pPr>
      <w:hyperlink r:id="rId31">
        <w:r w:rsidDel="00000000" w:rsidR="00000000" w:rsidRPr="00000000">
          <w:rPr>
            <w:rFonts w:ascii="Georgia" w:cs="Georgia" w:eastAsia="Georgia" w:hAnsi="Georgia"/>
            <w:sz w:val="24"/>
            <w:szCs w:val="24"/>
            <w:rtl w:val="0"/>
          </w:rPr>
          <w:t xml:space="preserve">1.</w:t>
        </w:r>
      </w:hyperlink>
      <w:r w:rsidDel="00000000" w:rsidR="00000000" w:rsidRPr="00000000">
        <w:rPr>
          <w:rFonts w:ascii="Georgia" w:cs="Georgia" w:eastAsia="Georgia" w:hAnsi="Georgia"/>
          <w:sz w:val="24"/>
          <w:szCs w:val="24"/>
          <w:rtl w:val="0"/>
        </w:rPr>
        <w:tab/>
      </w:r>
      <w:hyperlink r:id="rId32">
        <w:r w:rsidDel="00000000" w:rsidR="00000000" w:rsidRPr="00000000">
          <w:rPr>
            <w:rFonts w:ascii="Georgia" w:cs="Georgia" w:eastAsia="Georgia" w:hAnsi="Georgia"/>
            <w:sz w:val="24"/>
            <w:szCs w:val="24"/>
            <w:rtl w:val="0"/>
          </w:rPr>
          <w:t xml:space="preserve">Bradbury S, Eggleston C. Postural hypotension: A report of three cases. Am Heart J. 1925 Oct 1;1(1):73–86. doi:10.1016/S0002-8703(25)90007-5 </w:t>
        </w:r>
      </w:hyperlink>
      <w:r w:rsidDel="00000000" w:rsidR="00000000" w:rsidRPr="00000000">
        <w:rPr>
          <w:rtl w:val="0"/>
        </w:rPr>
      </w:r>
    </w:p>
    <w:p w:rsidR="00000000" w:rsidDel="00000000" w:rsidP="00000000" w:rsidRDefault="00000000" w:rsidRPr="00000000" w14:paraId="0000008E">
      <w:pPr>
        <w:spacing w:after="240" w:line="240" w:lineRule="auto"/>
        <w:ind w:left="264" w:firstLine="0"/>
        <w:jc w:val="both"/>
        <w:rPr>
          <w:rFonts w:ascii="Georgia" w:cs="Georgia" w:eastAsia="Georgia" w:hAnsi="Georgia"/>
          <w:sz w:val="24"/>
          <w:szCs w:val="24"/>
        </w:rPr>
      </w:pPr>
      <w:hyperlink r:id="rId33">
        <w:r w:rsidDel="00000000" w:rsidR="00000000" w:rsidRPr="00000000">
          <w:rPr>
            <w:rFonts w:ascii="Georgia" w:cs="Georgia" w:eastAsia="Georgia" w:hAnsi="Georgia"/>
            <w:sz w:val="24"/>
            <w:szCs w:val="24"/>
            <w:rtl w:val="0"/>
          </w:rPr>
          <w:t xml:space="preserve">2.</w:t>
        </w:r>
      </w:hyperlink>
      <w:r w:rsidDel="00000000" w:rsidR="00000000" w:rsidRPr="00000000">
        <w:rPr>
          <w:rFonts w:ascii="Georgia" w:cs="Georgia" w:eastAsia="Georgia" w:hAnsi="Georgia"/>
          <w:sz w:val="24"/>
          <w:szCs w:val="24"/>
          <w:rtl w:val="0"/>
        </w:rPr>
        <w:tab/>
      </w:r>
      <w:hyperlink r:id="rId34">
        <w:r w:rsidDel="00000000" w:rsidR="00000000" w:rsidRPr="00000000">
          <w:rPr>
            <w:rFonts w:ascii="Georgia" w:cs="Georgia" w:eastAsia="Georgia" w:hAnsi="Georgia"/>
            <w:sz w:val="24"/>
            <w:szCs w:val="24"/>
            <w:rtl w:val="0"/>
          </w:rPr>
          <w:t xml:space="preserve">Rutan GH, Hermanson B, Bild DE, Kittner SJ, LaBaw F, Tell GS. Orthostatic hypotension in older adults. The Cardiovascular Health Study. CHS Collaborative Research Group. Hypertens Dallas Tex 1979. 1992 Jun;19(6 Pt 1):508–19. doi:10.1161/01.hyp.19.6.508 PubMed PMID: 1592445. </w:t>
        </w:r>
      </w:hyperlink>
      <w:r w:rsidDel="00000000" w:rsidR="00000000" w:rsidRPr="00000000">
        <w:rPr>
          <w:rtl w:val="0"/>
        </w:rPr>
      </w:r>
    </w:p>
    <w:p w:rsidR="00000000" w:rsidDel="00000000" w:rsidP="00000000" w:rsidRDefault="00000000" w:rsidRPr="00000000" w14:paraId="0000008F">
      <w:pPr>
        <w:spacing w:after="240" w:line="240" w:lineRule="auto"/>
        <w:ind w:left="264" w:firstLine="0"/>
        <w:jc w:val="both"/>
        <w:rPr>
          <w:rFonts w:ascii="Georgia" w:cs="Georgia" w:eastAsia="Georgia" w:hAnsi="Georgia"/>
          <w:sz w:val="24"/>
          <w:szCs w:val="24"/>
        </w:rPr>
      </w:pPr>
      <w:hyperlink r:id="rId35">
        <w:r w:rsidDel="00000000" w:rsidR="00000000" w:rsidRPr="00000000">
          <w:rPr>
            <w:rFonts w:ascii="Georgia" w:cs="Georgia" w:eastAsia="Georgia" w:hAnsi="Georgia"/>
            <w:sz w:val="24"/>
            <w:szCs w:val="24"/>
            <w:rtl w:val="0"/>
          </w:rPr>
          <w:t xml:space="preserve">3.</w:t>
        </w:r>
      </w:hyperlink>
      <w:r w:rsidDel="00000000" w:rsidR="00000000" w:rsidRPr="00000000">
        <w:rPr>
          <w:rFonts w:ascii="Georgia" w:cs="Georgia" w:eastAsia="Georgia" w:hAnsi="Georgia"/>
          <w:sz w:val="24"/>
          <w:szCs w:val="24"/>
          <w:rtl w:val="0"/>
        </w:rPr>
        <w:tab/>
      </w:r>
      <w:hyperlink r:id="rId36">
        <w:r w:rsidDel="00000000" w:rsidR="00000000" w:rsidRPr="00000000">
          <w:rPr>
            <w:rFonts w:ascii="Georgia" w:cs="Georgia" w:eastAsia="Georgia" w:hAnsi="Georgia"/>
            <w:sz w:val="24"/>
            <w:szCs w:val="24"/>
            <w:rtl w:val="0"/>
          </w:rPr>
          <w:t xml:space="preserve">Ricci F, Fedorowski A, Radico F, Romanello M, Tatasciore A, Di Nicola M, et al. Cardiovascular morbidity and mortality related to orthostatic hypotension: a meta-analysis of prospective observational studies. Eur Heart J. 2015 Jul 1;36(25):1609–17. doi:10.1093/eurheartj/ehv093 PubMed PMID: 25852216. </w:t>
        </w:r>
      </w:hyperlink>
      <w:r w:rsidDel="00000000" w:rsidR="00000000" w:rsidRPr="00000000">
        <w:rPr>
          <w:rtl w:val="0"/>
        </w:rPr>
      </w:r>
    </w:p>
    <w:p w:rsidR="00000000" w:rsidDel="00000000" w:rsidP="00000000" w:rsidRDefault="00000000" w:rsidRPr="00000000" w14:paraId="00000090">
      <w:pPr>
        <w:spacing w:after="240" w:line="240" w:lineRule="auto"/>
        <w:ind w:left="264" w:firstLine="0"/>
        <w:jc w:val="both"/>
        <w:rPr>
          <w:rFonts w:ascii="Georgia" w:cs="Georgia" w:eastAsia="Georgia" w:hAnsi="Georgia"/>
          <w:sz w:val="24"/>
          <w:szCs w:val="24"/>
        </w:rPr>
      </w:pPr>
      <w:hyperlink r:id="rId37">
        <w:r w:rsidDel="00000000" w:rsidR="00000000" w:rsidRPr="00000000">
          <w:rPr>
            <w:rFonts w:ascii="Georgia" w:cs="Georgia" w:eastAsia="Georgia" w:hAnsi="Georgia"/>
            <w:sz w:val="24"/>
            <w:szCs w:val="24"/>
            <w:rtl w:val="0"/>
          </w:rPr>
          <w:t xml:space="preserve">4.</w:t>
        </w:r>
      </w:hyperlink>
      <w:r w:rsidDel="00000000" w:rsidR="00000000" w:rsidRPr="00000000">
        <w:rPr>
          <w:rFonts w:ascii="Georgia" w:cs="Georgia" w:eastAsia="Georgia" w:hAnsi="Georgia"/>
          <w:sz w:val="24"/>
          <w:szCs w:val="24"/>
          <w:rtl w:val="0"/>
        </w:rPr>
        <w:tab/>
      </w:r>
      <w:hyperlink r:id="rId38">
        <w:r w:rsidDel="00000000" w:rsidR="00000000" w:rsidRPr="00000000">
          <w:rPr>
            <w:rFonts w:ascii="Georgia" w:cs="Georgia" w:eastAsia="Georgia" w:hAnsi="Georgia"/>
            <w:sz w:val="24"/>
            <w:szCs w:val="24"/>
            <w:rtl w:val="0"/>
          </w:rPr>
          <w:t xml:space="preserve">Ko D, Preis SR, Lubitz SA, McManus DD, Vasan RS, Hamburg NM, et al. Relation of Orthostatic Hypotension With New-Onset Atrial Fibrillation (From the Framingham Heart Study). Am J Cardiol. 2018 Mar 1;121(5):596–601. doi:10.1016/j.amjcard.2017.11.036 </w:t>
        </w:r>
      </w:hyperlink>
      <w:r w:rsidDel="00000000" w:rsidR="00000000" w:rsidRPr="00000000">
        <w:rPr>
          <w:rtl w:val="0"/>
        </w:rPr>
      </w:r>
    </w:p>
    <w:p w:rsidR="00000000" w:rsidDel="00000000" w:rsidP="00000000" w:rsidRDefault="00000000" w:rsidRPr="00000000" w14:paraId="00000091">
      <w:pPr>
        <w:spacing w:after="240" w:line="240" w:lineRule="auto"/>
        <w:ind w:left="264" w:firstLine="0"/>
        <w:jc w:val="both"/>
        <w:rPr>
          <w:rFonts w:ascii="Georgia" w:cs="Georgia" w:eastAsia="Georgia" w:hAnsi="Georgia"/>
          <w:sz w:val="24"/>
          <w:szCs w:val="24"/>
        </w:rPr>
      </w:pPr>
      <w:hyperlink r:id="rId39">
        <w:r w:rsidDel="00000000" w:rsidR="00000000" w:rsidRPr="00000000">
          <w:rPr>
            <w:rFonts w:ascii="Georgia" w:cs="Georgia" w:eastAsia="Georgia" w:hAnsi="Georgia"/>
            <w:sz w:val="24"/>
            <w:szCs w:val="24"/>
            <w:rtl w:val="0"/>
          </w:rPr>
          <w:t xml:space="preserve">5.</w:t>
        </w:r>
      </w:hyperlink>
      <w:r w:rsidDel="00000000" w:rsidR="00000000" w:rsidRPr="00000000">
        <w:rPr>
          <w:rFonts w:ascii="Georgia" w:cs="Georgia" w:eastAsia="Georgia" w:hAnsi="Georgia"/>
          <w:sz w:val="24"/>
          <w:szCs w:val="24"/>
          <w:rtl w:val="0"/>
        </w:rPr>
        <w:tab/>
      </w:r>
      <w:hyperlink r:id="rId40">
        <w:r w:rsidDel="00000000" w:rsidR="00000000" w:rsidRPr="00000000">
          <w:rPr>
            <w:rFonts w:ascii="Georgia" w:cs="Georgia" w:eastAsia="Georgia" w:hAnsi="Georgia"/>
            <w:sz w:val="24"/>
            <w:szCs w:val="24"/>
            <w:rtl w:val="0"/>
          </w:rPr>
          <w:t xml:space="preserve">Bell EJ, Agarwal SK, Cushman M, Heckbert SR, Lutsey PL, Folsom AR. Orthostatic Hypotension and Risk of Venous Thromboembolism in 2 Cohort Studies. Am J Hypertens. 2016 May;29(5):634–40. doi:10.1093/ajh/hpv151 PubMed PMID: 26306405; PubMed Central PMCID: PMC5014082. </w:t>
        </w:r>
      </w:hyperlink>
      <w:r w:rsidDel="00000000" w:rsidR="00000000" w:rsidRPr="00000000">
        <w:rPr>
          <w:rtl w:val="0"/>
        </w:rPr>
      </w:r>
    </w:p>
    <w:p w:rsidR="00000000" w:rsidDel="00000000" w:rsidP="00000000" w:rsidRDefault="00000000" w:rsidRPr="00000000" w14:paraId="00000092">
      <w:pPr>
        <w:spacing w:after="240" w:line="240" w:lineRule="auto"/>
        <w:ind w:left="264" w:firstLine="0"/>
        <w:jc w:val="both"/>
        <w:rPr>
          <w:rFonts w:ascii="Georgia" w:cs="Georgia" w:eastAsia="Georgia" w:hAnsi="Georgia"/>
          <w:sz w:val="24"/>
          <w:szCs w:val="24"/>
        </w:rPr>
      </w:pPr>
      <w:hyperlink r:id="rId41">
        <w:r w:rsidDel="00000000" w:rsidR="00000000" w:rsidRPr="00000000">
          <w:rPr>
            <w:rFonts w:ascii="Georgia" w:cs="Georgia" w:eastAsia="Georgia" w:hAnsi="Georgia"/>
            <w:sz w:val="24"/>
            <w:szCs w:val="24"/>
            <w:rtl w:val="0"/>
          </w:rPr>
          <w:t xml:space="preserve">6.</w:t>
        </w:r>
      </w:hyperlink>
      <w:r w:rsidDel="00000000" w:rsidR="00000000" w:rsidRPr="00000000">
        <w:rPr>
          <w:rFonts w:ascii="Georgia" w:cs="Georgia" w:eastAsia="Georgia" w:hAnsi="Georgia"/>
          <w:sz w:val="24"/>
          <w:szCs w:val="24"/>
          <w:rtl w:val="0"/>
        </w:rPr>
        <w:tab/>
      </w:r>
      <w:hyperlink r:id="rId42">
        <w:r w:rsidDel="00000000" w:rsidR="00000000" w:rsidRPr="00000000">
          <w:rPr>
            <w:rFonts w:ascii="Georgia" w:cs="Georgia" w:eastAsia="Georgia" w:hAnsi="Georgia"/>
            <w:sz w:val="24"/>
            <w:szCs w:val="24"/>
            <w:rtl w:val="0"/>
          </w:rPr>
          <w:t xml:space="preserve">Franceschini N, Rose KathrynM, Astor BC, Couper D, Vupputuri S. Orthostatic hypotension is associated with incident chronic kidney disease: The Atherosclerosis Risk In Communities Study. Hypertension. 2010 Dec;56(6):1054–9. doi:10.1161/HYPERTENSIONAHA.110.156380 PubMed PMID: 21060003; PubMed Central PMCID: PMC3147024. </w:t>
        </w:r>
      </w:hyperlink>
      <w:r w:rsidDel="00000000" w:rsidR="00000000" w:rsidRPr="00000000">
        <w:rPr>
          <w:rtl w:val="0"/>
        </w:rPr>
      </w:r>
    </w:p>
    <w:p w:rsidR="00000000" w:rsidDel="00000000" w:rsidP="00000000" w:rsidRDefault="00000000" w:rsidRPr="00000000" w14:paraId="00000093">
      <w:pPr>
        <w:spacing w:after="240" w:line="240" w:lineRule="auto"/>
        <w:ind w:left="264" w:firstLine="0"/>
        <w:jc w:val="both"/>
        <w:rPr>
          <w:rFonts w:ascii="Georgia" w:cs="Georgia" w:eastAsia="Georgia" w:hAnsi="Georgia"/>
          <w:sz w:val="24"/>
          <w:szCs w:val="24"/>
        </w:rPr>
      </w:pPr>
      <w:hyperlink r:id="rId43">
        <w:r w:rsidDel="00000000" w:rsidR="00000000" w:rsidRPr="00000000">
          <w:rPr>
            <w:rFonts w:ascii="Georgia" w:cs="Georgia" w:eastAsia="Georgia" w:hAnsi="Georgia"/>
            <w:sz w:val="24"/>
            <w:szCs w:val="24"/>
            <w:rtl w:val="0"/>
          </w:rPr>
          <w:t xml:space="preserve">7.</w:t>
        </w:r>
      </w:hyperlink>
      <w:r w:rsidDel="00000000" w:rsidR="00000000" w:rsidRPr="00000000">
        <w:rPr>
          <w:rFonts w:ascii="Georgia" w:cs="Georgia" w:eastAsia="Georgia" w:hAnsi="Georgia"/>
          <w:sz w:val="24"/>
          <w:szCs w:val="24"/>
          <w:rtl w:val="0"/>
        </w:rPr>
        <w:tab/>
      </w:r>
      <w:hyperlink r:id="rId44">
        <w:r w:rsidDel="00000000" w:rsidR="00000000" w:rsidRPr="00000000">
          <w:rPr>
            <w:rFonts w:ascii="Georgia" w:cs="Georgia" w:eastAsia="Georgia" w:hAnsi="Georgia"/>
            <w:sz w:val="24"/>
            <w:szCs w:val="24"/>
            <w:rtl w:val="0"/>
          </w:rPr>
          <w:t xml:space="preserve">Kulkarni S, Jenkins D, Dhar A, Mir F. Treating Lows: Management of Orthostatic Hypotension. J Cardiovasc Pharmacol. 2024 Sep 3;84(3):303–15. doi:10.1097/FJC.0000000000001597 PubMed PMID: 39027973; PubMed Central PMCID: PMC11368167. </w:t>
        </w:r>
      </w:hyperlink>
      <w:r w:rsidDel="00000000" w:rsidR="00000000" w:rsidRPr="00000000">
        <w:rPr>
          <w:rtl w:val="0"/>
        </w:rPr>
      </w:r>
    </w:p>
    <w:p w:rsidR="00000000" w:rsidDel="00000000" w:rsidP="00000000" w:rsidRDefault="00000000" w:rsidRPr="00000000" w14:paraId="00000094">
      <w:pPr>
        <w:spacing w:after="240" w:line="240" w:lineRule="auto"/>
        <w:ind w:left="264" w:firstLine="0"/>
        <w:jc w:val="both"/>
        <w:rPr>
          <w:rFonts w:ascii="Georgia" w:cs="Georgia" w:eastAsia="Georgia" w:hAnsi="Georgia"/>
          <w:sz w:val="24"/>
          <w:szCs w:val="24"/>
        </w:rPr>
      </w:pPr>
      <w:hyperlink r:id="rId45">
        <w:r w:rsidDel="00000000" w:rsidR="00000000" w:rsidRPr="00000000">
          <w:rPr>
            <w:rFonts w:ascii="Georgia" w:cs="Georgia" w:eastAsia="Georgia" w:hAnsi="Georgia"/>
            <w:sz w:val="24"/>
            <w:szCs w:val="24"/>
            <w:rtl w:val="0"/>
          </w:rPr>
          <w:t xml:space="preserve">8.</w:t>
        </w:r>
      </w:hyperlink>
      <w:r w:rsidDel="00000000" w:rsidR="00000000" w:rsidRPr="00000000">
        <w:rPr>
          <w:rFonts w:ascii="Georgia" w:cs="Georgia" w:eastAsia="Georgia" w:hAnsi="Georgia"/>
          <w:sz w:val="24"/>
          <w:szCs w:val="24"/>
          <w:rtl w:val="0"/>
        </w:rPr>
        <w:tab/>
      </w:r>
      <w:hyperlink r:id="rId46">
        <w:r w:rsidDel="00000000" w:rsidR="00000000" w:rsidRPr="00000000">
          <w:rPr>
            <w:rFonts w:ascii="Georgia" w:cs="Georgia" w:eastAsia="Georgia" w:hAnsi="Georgia"/>
            <w:sz w:val="24"/>
            <w:szCs w:val="24"/>
            <w:rtl w:val="0"/>
          </w:rPr>
          <w:t xml:space="preserve">Sra J, Maglio C, Biehl M, Dhala A, Blanck Z, Deshpande S, et al. Efficacy of Midodrine Hydrochloride in Neurocardiogenic Syncope Refractory to Standard Therapy. J Cardiovasc Electrophysiol. 1997;8(1):42–6. doi:10.1111/j.1540-8167.1997.tb00607.x </w:t>
        </w:r>
      </w:hyperlink>
      <w:r w:rsidDel="00000000" w:rsidR="00000000" w:rsidRPr="00000000">
        <w:rPr>
          <w:rtl w:val="0"/>
        </w:rPr>
      </w:r>
    </w:p>
    <w:p w:rsidR="00000000" w:rsidDel="00000000" w:rsidP="00000000" w:rsidRDefault="00000000" w:rsidRPr="00000000" w14:paraId="00000095">
      <w:pPr>
        <w:spacing w:after="240" w:line="240" w:lineRule="auto"/>
        <w:ind w:left="264" w:firstLine="0"/>
        <w:jc w:val="both"/>
        <w:rPr>
          <w:rFonts w:ascii="Georgia" w:cs="Georgia" w:eastAsia="Georgia" w:hAnsi="Georgia"/>
          <w:sz w:val="24"/>
          <w:szCs w:val="24"/>
        </w:rPr>
      </w:pPr>
      <w:hyperlink r:id="rId47">
        <w:r w:rsidDel="00000000" w:rsidR="00000000" w:rsidRPr="00000000">
          <w:rPr>
            <w:rFonts w:ascii="Georgia" w:cs="Georgia" w:eastAsia="Georgia" w:hAnsi="Georgia"/>
            <w:sz w:val="24"/>
            <w:szCs w:val="24"/>
            <w:rtl w:val="0"/>
          </w:rPr>
          <w:t xml:space="preserve">9.</w:t>
        </w:r>
      </w:hyperlink>
      <w:r w:rsidDel="00000000" w:rsidR="00000000" w:rsidRPr="00000000">
        <w:rPr>
          <w:rFonts w:ascii="Georgia" w:cs="Georgia" w:eastAsia="Georgia" w:hAnsi="Georgia"/>
          <w:sz w:val="24"/>
          <w:szCs w:val="24"/>
          <w:rtl w:val="0"/>
        </w:rPr>
        <w:tab/>
      </w:r>
      <w:hyperlink r:id="rId48">
        <w:r w:rsidDel="00000000" w:rsidR="00000000" w:rsidRPr="00000000">
          <w:rPr>
            <w:rFonts w:ascii="Georgia" w:cs="Georgia" w:eastAsia="Georgia" w:hAnsi="Georgia"/>
            <w:sz w:val="24"/>
            <w:szCs w:val="24"/>
            <w:rtl w:val="0"/>
          </w:rPr>
          <w:t xml:space="preserve">Vaidyanathan S, Soni BM, Hughes PL. Midodrine: insidious development of urologic adverse effects in patients with spinal cord injury: a report of 2 cases. Adv Ther. 2007;24(4):712–20. doi:10.1007/BF02849965 PubMed PMID: 17901021. </w:t>
        </w:r>
      </w:hyperlink>
      <w:r w:rsidDel="00000000" w:rsidR="00000000" w:rsidRPr="00000000">
        <w:rPr>
          <w:rtl w:val="0"/>
        </w:rPr>
      </w:r>
    </w:p>
    <w:p w:rsidR="00000000" w:rsidDel="00000000" w:rsidP="00000000" w:rsidRDefault="00000000" w:rsidRPr="00000000" w14:paraId="00000096">
      <w:pPr>
        <w:spacing w:after="240" w:line="240" w:lineRule="auto"/>
        <w:ind w:left="264" w:firstLine="0"/>
        <w:jc w:val="both"/>
        <w:rPr>
          <w:rFonts w:ascii="Georgia" w:cs="Georgia" w:eastAsia="Georgia" w:hAnsi="Georgia"/>
          <w:sz w:val="24"/>
          <w:szCs w:val="24"/>
        </w:rPr>
      </w:pPr>
      <w:hyperlink r:id="rId49">
        <w:r w:rsidDel="00000000" w:rsidR="00000000" w:rsidRPr="00000000">
          <w:rPr>
            <w:rFonts w:ascii="Georgia" w:cs="Georgia" w:eastAsia="Georgia" w:hAnsi="Georgia"/>
            <w:sz w:val="24"/>
            <w:szCs w:val="24"/>
            <w:rtl w:val="0"/>
          </w:rPr>
          <w:t xml:space="preserve">10.</w:t>
        </w:r>
      </w:hyperlink>
      <w:r w:rsidDel="00000000" w:rsidR="00000000" w:rsidRPr="00000000">
        <w:rPr>
          <w:rFonts w:ascii="Georgia" w:cs="Georgia" w:eastAsia="Georgia" w:hAnsi="Georgia"/>
          <w:sz w:val="24"/>
          <w:szCs w:val="24"/>
          <w:rtl w:val="0"/>
        </w:rPr>
        <w:tab/>
      </w:r>
      <w:hyperlink r:id="rId50">
        <w:r w:rsidDel="00000000" w:rsidR="00000000" w:rsidRPr="00000000">
          <w:rPr>
            <w:rFonts w:ascii="Georgia" w:cs="Georgia" w:eastAsia="Georgia" w:hAnsi="Georgia"/>
            <w:sz w:val="24"/>
            <w:szCs w:val="24"/>
            <w:rtl w:val="0"/>
          </w:rPr>
          <w:t xml:space="preserve">Burns A, Brown TM, Semple P. Extreme metabolic alkalosis with fludrocortisone therapy. Postgrad Med J. 1983 Aug;59(694):506–7. PubMed PMID: 6622340; PubMed Central PMCID: PMC2417584. </w:t>
        </w:r>
      </w:hyperlink>
      <w:r w:rsidDel="00000000" w:rsidR="00000000" w:rsidRPr="00000000">
        <w:rPr>
          <w:rtl w:val="0"/>
        </w:rPr>
      </w:r>
    </w:p>
    <w:p w:rsidR="00000000" w:rsidDel="00000000" w:rsidP="00000000" w:rsidRDefault="00000000" w:rsidRPr="00000000" w14:paraId="00000097">
      <w:pPr>
        <w:spacing w:after="240" w:line="240" w:lineRule="auto"/>
        <w:ind w:left="264" w:firstLine="0"/>
        <w:jc w:val="both"/>
        <w:rPr>
          <w:rFonts w:ascii="Georgia" w:cs="Georgia" w:eastAsia="Georgia" w:hAnsi="Georgia"/>
          <w:sz w:val="24"/>
          <w:szCs w:val="24"/>
        </w:rPr>
      </w:pPr>
      <w:hyperlink r:id="rId51">
        <w:r w:rsidDel="00000000" w:rsidR="00000000" w:rsidRPr="00000000">
          <w:rPr>
            <w:rFonts w:ascii="Georgia" w:cs="Georgia" w:eastAsia="Georgia" w:hAnsi="Georgia"/>
            <w:sz w:val="24"/>
            <w:szCs w:val="24"/>
            <w:rtl w:val="0"/>
          </w:rPr>
          <w:t xml:space="preserve">11.</w:t>
        </w:r>
      </w:hyperlink>
      <w:r w:rsidDel="00000000" w:rsidR="00000000" w:rsidRPr="00000000">
        <w:rPr>
          <w:rFonts w:ascii="Georgia" w:cs="Georgia" w:eastAsia="Georgia" w:hAnsi="Georgia"/>
          <w:sz w:val="24"/>
          <w:szCs w:val="24"/>
          <w:rtl w:val="0"/>
        </w:rPr>
        <w:tab/>
      </w:r>
      <w:hyperlink r:id="rId52">
        <w:r w:rsidDel="00000000" w:rsidR="00000000" w:rsidRPr="00000000">
          <w:rPr>
            <w:rFonts w:ascii="Georgia" w:cs="Georgia" w:eastAsia="Georgia" w:hAnsi="Georgia"/>
            <w:sz w:val="24"/>
            <w:szCs w:val="24"/>
            <w:rtl w:val="0"/>
          </w:rPr>
          <w:t xml:space="preserve">Willis FR, Byrne GC, Jones TW. Fludrocortisone induced heart failure in Addison’s disease. J Paediatr Child Health. 1994 Jun;30(3):280–1. doi:10.1111/j.1440-1754.1994.tb00636.x PubMed PMID: 8074919. </w:t>
        </w:r>
      </w:hyperlink>
      <w:r w:rsidDel="00000000" w:rsidR="00000000" w:rsidRPr="00000000">
        <w:rPr>
          <w:rtl w:val="0"/>
        </w:rPr>
      </w:r>
    </w:p>
    <w:p w:rsidR="00000000" w:rsidDel="00000000" w:rsidP="00000000" w:rsidRDefault="00000000" w:rsidRPr="00000000" w14:paraId="00000098">
      <w:pPr>
        <w:spacing w:after="240" w:line="240" w:lineRule="auto"/>
        <w:ind w:left="264" w:firstLine="0"/>
        <w:jc w:val="both"/>
        <w:rPr>
          <w:rFonts w:ascii="Georgia" w:cs="Georgia" w:eastAsia="Georgia" w:hAnsi="Georgia"/>
          <w:sz w:val="24"/>
          <w:szCs w:val="24"/>
        </w:rPr>
      </w:pPr>
      <w:hyperlink r:id="rId53">
        <w:r w:rsidDel="00000000" w:rsidR="00000000" w:rsidRPr="00000000">
          <w:rPr>
            <w:rFonts w:ascii="Georgia" w:cs="Georgia" w:eastAsia="Georgia" w:hAnsi="Georgia"/>
            <w:sz w:val="24"/>
            <w:szCs w:val="24"/>
            <w:rtl w:val="0"/>
          </w:rPr>
          <w:t xml:space="preserve">12.</w:t>
        </w:r>
      </w:hyperlink>
      <w:r w:rsidDel="00000000" w:rsidR="00000000" w:rsidRPr="00000000">
        <w:rPr>
          <w:rFonts w:ascii="Georgia" w:cs="Georgia" w:eastAsia="Georgia" w:hAnsi="Georgia"/>
          <w:sz w:val="24"/>
          <w:szCs w:val="24"/>
          <w:rtl w:val="0"/>
        </w:rPr>
        <w:tab/>
      </w:r>
      <w:hyperlink r:id="rId54">
        <w:r w:rsidDel="00000000" w:rsidR="00000000" w:rsidRPr="00000000">
          <w:rPr>
            <w:rFonts w:ascii="Georgia" w:cs="Georgia" w:eastAsia="Georgia" w:hAnsi="Georgia"/>
            <w:sz w:val="24"/>
            <w:szCs w:val="24"/>
            <w:rtl w:val="0"/>
          </w:rPr>
          <w:t xml:space="preserve">Kaufmann H, Freeman R, Biaggioni I, Low P, Pedder S, Hewitt LA, et al. Droxidopa for neurogenic orthostatic hypotension: A randomized, placebo-controlled, phase 3 trial. Neurology. 2014 Jul 22;83(4):328. doi:10.1212/WNL.0000000000000615 PubMed PMID: 24944260. </w:t>
        </w:r>
      </w:hyperlink>
      <w:r w:rsidDel="00000000" w:rsidR="00000000" w:rsidRPr="00000000">
        <w:rPr>
          <w:rtl w:val="0"/>
        </w:rPr>
      </w:r>
    </w:p>
    <w:p w:rsidR="00000000" w:rsidDel="00000000" w:rsidP="00000000" w:rsidRDefault="00000000" w:rsidRPr="00000000" w14:paraId="00000099">
      <w:pPr>
        <w:spacing w:after="240" w:line="240" w:lineRule="auto"/>
        <w:ind w:left="264" w:firstLine="0"/>
        <w:jc w:val="both"/>
        <w:rPr>
          <w:rFonts w:ascii="Georgia" w:cs="Georgia" w:eastAsia="Georgia" w:hAnsi="Georgia"/>
          <w:sz w:val="24"/>
          <w:szCs w:val="24"/>
        </w:rPr>
      </w:pPr>
      <w:hyperlink r:id="rId55">
        <w:r w:rsidDel="00000000" w:rsidR="00000000" w:rsidRPr="00000000">
          <w:rPr>
            <w:rFonts w:ascii="Georgia" w:cs="Georgia" w:eastAsia="Georgia" w:hAnsi="Georgia"/>
            <w:sz w:val="24"/>
            <w:szCs w:val="24"/>
            <w:rtl w:val="0"/>
          </w:rPr>
          <w:t xml:space="preserve">13.</w:t>
        </w:r>
      </w:hyperlink>
      <w:r w:rsidDel="00000000" w:rsidR="00000000" w:rsidRPr="00000000">
        <w:rPr>
          <w:rFonts w:ascii="Georgia" w:cs="Georgia" w:eastAsia="Georgia" w:hAnsi="Georgia"/>
          <w:sz w:val="24"/>
          <w:szCs w:val="24"/>
          <w:rtl w:val="0"/>
        </w:rPr>
        <w:tab/>
      </w:r>
      <w:hyperlink r:id="rId56">
        <w:r w:rsidDel="00000000" w:rsidR="00000000" w:rsidRPr="00000000">
          <w:rPr>
            <w:rFonts w:ascii="Georgia" w:cs="Georgia" w:eastAsia="Georgia" w:hAnsi="Georgia"/>
            <w:sz w:val="24"/>
            <w:szCs w:val="24"/>
            <w:rtl w:val="0"/>
          </w:rPr>
          <w:t xml:space="preserve">Remijn-Nelissen L, Verschuuren JJGM, Tannemaat MR. The effectiveness and side effects of pyridostigmine in the treatment of myasthenia gravis: a cross-sectional study. Neuromuscul Disord. 2022 Oct 1;32(10):790–9. doi:10.1016/j.nmd.2022.09.002 PubMed PMID: 36184373. </w:t>
        </w:r>
      </w:hyperlink>
      <w:r w:rsidDel="00000000" w:rsidR="00000000" w:rsidRPr="00000000">
        <w:rPr>
          <w:rtl w:val="0"/>
        </w:rPr>
      </w:r>
    </w:p>
    <w:p w:rsidR="00000000" w:rsidDel="00000000" w:rsidP="00000000" w:rsidRDefault="00000000" w:rsidRPr="00000000" w14:paraId="0000009A">
      <w:pPr>
        <w:spacing w:after="240" w:line="240" w:lineRule="auto"/>
        <w:ind w:left="264" w:firstLine="0"/>
        <w:jc w:val="both"/>
        <w:rPr>
          <w:rFonts w:ascii="Georgia" w:cs="Georgia" w:eastAsia="Georgia" w:hAnsi="Georgia"/>
          <w:sz w:val="24"/>
          <w:szCs w:val="24"/>
        </w:rPr>
      </w:pPr>
      <w:hyperlink r:id="rId57">
        <w:r w:rsidDel="00000000" w:rsidR="00000000" w:rsidRPr="00000000">
          <w:rPr>
            <w:rFonts w:ascii="Georgia" w:cs="Georgia" w:eastAsia="Georgia" w:hAnsi="Georgia"/>
            <w:sz w:val="24"/>
            <w:szCs w:val="24"/>
            <w:rtl w:val="0"/>
          </w:rPr>
          <w:t xml:space="preserve">14.</w:t>
        </w:r>
      </w:hyperlink>
      <w:r w:rsidDel="00000000" w:rsidR="00000000" w:rsidRPr="00000000">
        <w:rPr>
          <w:rFonts w:ascii="Georgia" w:cs="Georgia" w:eastAsia="Georgia" w:hAnsi="Georgia"/>
          <w:sz w:val="24"/>
          <w:szCs w:val="24"/>
          <w:rtl w:val="0"/>
        </w:rPr>
        <w:tab/>
      </w:r>
      <w:hyperlink r:id="rId58">
        <w:r w:rsidDel="00000000" w:rsidR="00000000" w:rsidRPr="00000000">
          <w:rPr>
            <w:rFonts w:ascii="Georgia" w:cs="Georgia" w:eastAsia="Georgia" w:hAnsi="Georgia"/>
            <w:sz w:val="24"/>
            <w:szCs w:val="24"/>
            <w:rtl w:val="0"/>
          </w:rPr>
          <w:t xml:space="preserve">Levick JR. An introduction to cardiovascular physiology. London ; Butterworths; 1991. </w:t>
        </w:r>
      </w:hyperlink>
      <w:r w:rsidDel="00000000" w:rsidR="00000000" w:rsidRPr="00000000">
        <w:rPr>
          <w:rtl w:val="0"/>
        </w:rPr>
      </w:r>
    </w:p>
    <w:p w:rsidR="00000000" w:rsidDel="00000000" w:rsidP="00000000" w:rsidRDefault="00000000" w:rsidRPr="00000000" w14:paraId="0000009B">
      <w:pPr>
        <w:spacing w:after="240" w:line="240" w:lineRule="auto"/>
        <w:ind w:left="264" w:firstLine="0"/>
        <w:jc w:val="both"/>
        <w:rPr>
          <w:rFonts w:ascii="Georgia" w:cs="Georgia" w:eastAsia="Georgia" w:hAnsi="Georgia"/>
          <w:sz w:val="24"/>
          <w:szCs w:val="24"/>
        </w:rPr>
      </w:pPr>
      <w:hyperlink r:id="rId59">
        <w:r w:rsidDel="00000000" w:rsidR="00000000" w:rsidRPr="00000000">
          <w:rPr>
            <w:rFonts w:ascii="Georgia" w:cs="Georgia" w:eastAsia="Georgia" w:hAnsi="Georgia"/>
            <w:sz w:val="24"/>
            <w:szCs w:val="24"/>
            <w:rtl w:val="0"/>
          </w:rPr>
          <w:t xml:space="preserve">15.</w:t>
        </w:r>
      </w:hyperlink>
      <w:r w:rsidDel="00000000" w:rsidR="00000000" w:rsidRPr="00000000">
        <w:rPr>
          <w:rFonts w:ascii="Georgia" w:cs="Georgia" w:eastAsia="Georgia" w:hAnsi="Georgia"/>
          <w:sz w:val="24"/>
          <w:szCs w:val="24"/>
          <w:rtl w:val="0"/>
        </w:rPr>
        <w:tab/>
      </w:r>
      <w:hyperlink r:id="rId60">
        <w:r w:rsidDel="00000000" w:rsidR="00000000" w:rsidRPr="00000000">
          <w:rPr>
            <w:rFonts w:ascii="Georgia" w:cs="Georgia" w:eastAsia="Georgia" w:hAnsi="Georgia"/>
            <w:sz w:val="24"/>
            <w:szCs w:val="24"/>
            <w:rtl w:val="0"/>
          </w:rPr>
          <w:t xml:space="preserve">Wang Y, Payne SJ. Static autoregulation in humans. J Cereb Blood Flow Metab. 2024 Nov;44(11):1191–207. doi:10.1177/0271678X231210430 PubMed PMID: 37933742; PubMed Central PMCID: PMC11542139. </w:t>
        </w:r>
      </w:hyperlink>
      <w:r w:rsidDel="00000000" w:rsidR="00000000" w:rsidRPr="00000000">
        <w:rPr>
          <w:rtl w:val="0"/>
        </w:rPr>
      </w:r>
    </w:p>
    <w:p w:rsidR="00000000" w:rsidDel="00000000" w:rsidP="00000000" w:rsidRDefault="00000000" w:rsidRPr="00000000" w14:paraId="0000009C">
      <w:pPr>
        <w:spacing w:after="240" w:line="240" w:lineRule="auto"/>
        <w:ind w:left="264" w:firstLine="0"/>
        <w:jc w:val="both"/>
        <w:rPr>
          <w:rFonts w:ascii="Georgia" w:cs="Georgia" w:eastAsia="Georgia" w:hAnsi="Georgia"/>
          <w:sz w:val="24"/>
          <w:szCs w:val="24"/>
        </w:rPr>
      </w:pPr>
      <w:hyperlink r:id="rId61">
        <w:r w:rsidDel="00000000" w:rsidR="00000000" w:rsidRPr="00000000">
          <w:rPr>
            <w:rFonts w:ascii="Georgia" w:cs="Georgia" w:eastAsia="Georgia" w:hAnsi="Georgia"/>
            <w:sz w:val="24"/>
            <w:szCs w:val="24"/>
            <w:rtl w:val="0"/>
          </w:rPr>
          <w:t xml:space="preserve">16.</w:t>
        </w:r>
      </w:hyperlink>
      <w:r w:rsidDel="00000000" w:rsidR="00000000" w:rsidRPr="00000000">
        <w:rPr>
          <w:rFonts w:ascii="Georgia" w:cs="Georgia" w:eastAsia="Georgia" w:hAnsi="Georgia"/>
          <w:sz w:val="24"/>
          <w:szCs w:val="24"/>
          <w:rtl w:val="0"/>
        </w:rPr>
        <w:tab/>
      </w:r>
      <w:hyperlink r:id="rId62">
        <w:r w:rsidDel="00000000" w:rsidR="00000000" w:rsidRPr="00000000">
          <w:rPr>
            <w:rFonts w:ascii="Georgia" w:cs="Georgia" w:eastAsia="Georgia" w:hAnsi="Georgia"/>
            <w:sz w:val="24"/>
            <w:szCs w:val="24"/>
            <w:rtl w:val="0"/>
          </w:rPr>
          <w:t xml:space="preserve">Ray CA. Vestibulo-sympathetic reflexes in humans: evidence from natural stimulation and its impact on orthostasis. Auton Neurosci. 2015 Nov 1;9th Meeting of the International Society for Autonomic Neuroscience (ISAN 2015) in conjunction with Federation of European Autonomic Societies (EFAS), American Autonomic Society (AAS), Japan Society of Neurovegetative Research (JSNR), Stresa, Italy, from the 26th - 29th September , 2015192:42. doi:10.1016/j.autneu.2015.07.384 </w:t>
        </w:r>
      </w:hyperlink>
      <w:r w:rsidDel="00000000" w:rsidR="00000000" w:rsidRPr="00000000">
        <w:rPr>
          <w:rtl w:val="0"/>
        </w:rPr>
      </w:r>
    </w:p>
    <w:p w:rsidR="00000000" w:rsidDel="00000000" w:rsidP="00000000" w:rsidRDefault="00000000" w:rsidRPr="00000000" w14:paraId="0000009D">
      <w:pPr>
        <w:spacing w:after="240" w:line="240" w:lineRule="auto"/>
        <w:ind w:left="264" w:firstLine="0"/>
        <w:jc w:val="both"/>
        <w:rPr>
          <w:rFonts w:ascii="Georgia" w:cs="Georgia" w:eastAsia="Georgia" w:hAnsi="Georgia"/>
          <w:sz w:val="24"/>
          <w:szCs w:val="24"/>
        </w:rPr>
      </w:pPr>
      <w:hyperlink r:id="rId63">
        <w:r w:rsidDel="00000000" w:rsidR="00000000" w:rsidRPr="00000000">
          <w:rPr>
            <w:rFonts w:ascii="Georgia" w:cs="Georgia" w:eastAsia="Georgia" w:hAnsi="Georgia"/>
            <w:sz w:val="24"/>
            <w:szCs w:val="24"/>
            <w:rtl w:val="0"/>
          </w:rPr>
          <w:t xml:space="preserve">17.</w:t>
        </w:r>
      </w:hyperlink>
      <w:r w:rsidDel="00000000" w:rsidR="00000000" w:rsidRPr="00000000">
        <w:rPr>
          <w:rFonts w:ascii="Georgia" w:cs="Georgia" w:eastAsia="Georgia" w:hAnsi="Georgia"/>
          <w:sz w:val="24"/>
          <w:szCs w:val="24"/>
          <w:rtl w:val="0"/>
        </w:rPr>
        <w:tab/>
      </w:r>
      <w:hyperlink r:id="rId64">
        <w:r w:rsidDel="00000000" w:rsidR="00000000" w:rsidRPr="00000000">
          <w:rPr>
            <w:rFonts w:ascii="Georgia" w:cs="Georgia" w:eastAsia="Georgia" w:hAnsi="Georgia"/>
            <w:sz w:val="24"/>
            <w:szCs w:val="24"/>
            <w:rtl w:val="0"/>
          </w:rPr>
          <w:t xml:space="preserve">Ketch T, Biaggioni I, Robertson R, Robertson D. Four faces of baroreflex failure: hypertensive crisis, volatile hypertension, orthostatic tachycardia, and malignant vagotonia. Circulation. 2002 May 28;105(21):2518–23. doi:10.1161/01.cir.0000017186.52382.f4 PubMed PMID: 12034659. </w:t>
        </w:r>
      </w:hyperlink>
      <w:r w:rsidDel="00000000" w:rsidR="00000000" w:rsidRPr="00000000">
        <w:rPr>
          <w:rtl w:val="0"/>
        </w:rPr>
      </w:r>
    </w:p>
    <w:p w:rsidR="00000000" w:rsidDel="00000000" w:rsidP="00000000" w:rsidRDefault="00000000" w:rsidRPr="00000000" w14:paraId="0000009E">
      <w:pPr>
        <w:spacing w:after="240" w:line="240" w:lineRule="auto"/>
        <w:ind w:left="264" w:firstLine="0"/>
        <w:jc w:val="both"/>
        <w:rPr>
          <w:rFonts w:ascii="Georgia" w:cs="Georgia" w:eastAsia="Georgia" w:hAnsi="Georgia"/>
          <w:sz w:val="24"/>
          <w:szCs w:val="24"/>
        </w:rPr>
      </w:pPr>
      <w:hyperlink r:id="rId65">
        <w:r w:rsidDel="00000000" w:rsidR="00000000" w:rsidRPr="00000000">
          <w:rPr>
            <w:rFonts w:ascii="Georgia" w:cs="Georgia" w:eastAsia="Georgia" w:hAnsi="Georgia"/>
            <w:sz w:val="24"/>
            <w:szCs w:val="24"/>
            <w:rtl w:val="0"/>
          </w:rPr>
          <w:t xml:space="preserve">18.</w:t>
        </w:r>
      </w:hyperlink>
      <w:r w:rsidDel="00000000" w:rsidR="00000000" w:rsidRPr="00000000">
        <w:rPr>
          <w:rFonts w:ascii="Georgia" w:cs="Georgia" w:eastAsia="Georgia" w:hAnsi="Georgia"/>
          <w:sz w:val="24"/>
          <w:szCs w:val="24"/>
          <w:rtl w:val="0"/>
        </w:rPr>
        <w:tab/>
      </w:r>
      <w:hyperlink r:id="rId66">
        <w:r w:rsidDel="00000000" w:rsidR="00000000" w:rsidRPr="00000000">
          <w:rPr>
            <w:rFonts w:ascii="Georgia" w:cs="Georgia" w:eastAsia="Georgia" w:hAnsi="Georgia"/>
            <w:sz w:val="24"/>
            <w:szCs w:val="24"/>
            <w:rtl w:val="0"/>
          </w:rPr>
          <w:t xml:space="preserve">Normahani P, Shalhoub J, Narayanan S. Repurposing the systemic venous return model for conceptualisation of chronic venous insufficiency and its management. Phlebology. 2020 Dec;35(10):749–51. doi:10.1177/0268355520932371 PubMed PMID: 32525447; PubMed Central PMCID: PMC7675772. </w:t>
        </w:r>
      </w:hyperlink>
      <w:r w:rsidDel="00000000" w:rsidR="00000000" w:rsidRPr="00000000">
        <w:rPr>
          <w:rtl w:val="0"/>
        </w:rPr>
      </w:r>
    </w:p>
    <w:p w:rsidR="00000000" w:rsidDel="00000000" w:rsidP="00000000" w:rsidRDefault="00000000" w:rsidRPr="00000000" w14:paraId="0000009F">
      <w:pPr>
        <w:spacing w:after="240" w:line="240" w:lineRule="auto"/>
        <w:ind w:left="264" w:firstLine="0"/>
        <w:jc w:val="both"/>
        <w:rPr>
          <w:rFonts w:ascii="Georgia" w:cs="Georgia" w:eastAsia="Georgia" w:hAnsi="Georgia"/>
          <w:sz w:val="24"/>
          <w:szCs w:val="24"/>
        </w:rPr>
      </w:pPr>
      <w:hyperlink r:id="rId67">
        <w:r w:rsidDel="00000000" w:rsidR="00000000" w:rsidRPr="00000000">
          <w:rPr>
            <w:rFonts w:ascii="Georgia" w:cs="Georgia" w:eastAsia="Georgia" w:hAnsi="Georgia"/>
            <w:sz w:val="24"/>
            <w:szCs w:val="24"/>
            <w:rtl w:val="0"/>
          </w:rPr>
          <w:t xml:space="preserve">19.</w:t>
        </w:r>
      </w:hyperlink>
      <w:r w:rsidDel="00000000" w:rsidR="00000000" w:rsidRPr="00000000">
        <w:rPr>
          <w:rFonts w:ascii="Georgia" w:cs="Georgia" w:eastAsia="Georgia" w:hAnsi="Georgia"/>
          <w:sz w:val="24"/>
          <w:szCs w:val="24"/>
          <w:rtl w:val="0"/>
        </w:rPr>
        <w:tab/>
      </w:r>
      <w:hyperlink r:id="rId68">
        <w:r w:rsidDel="00000000" w:rsidR="00000000" w:rsidRPr="00000000">
          <w:rPr>
            <w:rFonts w:ascii="Georgia" w:cs="Georgia" w:eastAsia="Georgia" w:hAnsi="Georgia"/>
            <w:sz w:val="24"/>
            <w:szCs w:val="24"/>
            <w:rtl w:val="0"/>
          </w:rPr>
          <w:t xml:space="preserve">Arcot KM, Thomson J, Mishra A, Gonzales N, Klippel C, DeOrchis VS. Venous Angioplasty and Stenting as a Novel Therapeutic Strategy for Orthostatic Hypotension: A Retrospective Review. J Vasc Dis. 2025 Oct 19;4(4). doi:10.3390/jvd4040041 </w:t>
        </w:r>
      </w:hyperlink>
      <w:r w:rsidDel="00000000" w:rsidR="00000000" w:rsidRPr="00000000">
        <w:rPr>
          <w:rtl w:val="0"/>
        </w:rPr>
      </w:r>
    </w:p>
    <w:p w:rsidR="00000000" w:rsidDel="00000000" w:rsidP="00000000" w:rsidRDefault="00000000" w:rsidRPr="00000000" w14:paraId="000000A0">
      <w:pPr>
        <w:spacing w:after="240" w:line="240" w:lineRule="auto"/>
        <w:ind w:left="264" w:firstLine="0"/>
        <w:jc w:val="both"/>
        <w:rPr>
          <w:rFonts w:ascii="Georgia" w:cs="Georgia" w:eastAsia="Georgia" w:hAnsi="Georgia"/>
          <w:sz w:val="24"/>
          <w:szCs w:val="24"/>
        </w:rPr>
      </w:pPr>
      <w:hyperlink r:id="rId69">
        <w:r w:rsidDel="00000000" w:rsidR="00000000" w:rsidRPr="00000000">
          <w:rPr>
            <w:rFonts w:ascii="Georgia" w:cs="Georgia" w:eastAsia="Georgia" w:hAnsi="Georgia"/>
            <w:sz w:val="24"/>
            <w:szCs w:val="24"/>
            <w:rtl w:val="0"/>
          </w:rPr>
          <w:t xml:space="preserve">20.</w:t>
        </w:r>
      </w:hyperlink>
      <w:r w:rsidDel="00000000" w:rsidR="00000000" w:rsidRPr="00000000">
        <w:rPr>
          <w:rFonts w:ascii="Georgia" w:cs="Georgia" w:eastAsia="Georgia" w:hAnsi="Georgia"/>
          <w:sz w:val="24"/>
          <w:szCs w:val="24"/>
          <w:rtl w:val="0"/>
        </w:rPr>
        <w:tab/>
      </w:r>
      <w:hyperlink r:id="rId70">
        <w:r w:rsidDel="00000000" w:rsidR="00000000" w:rsidRPr="00000000">
          <w:rPr>
            <w:rFonts w:ascii="Georgia" w:cs="Georgia" w:eastAsia="Georgia" w:hAnsi="Georgia"/>
            <w:sz w:val="24"/>
            <w:szCs w:val="24"/>
            <w:rtl w:val="0"/>
          </w:rPr>
          <w:t xml:space="preserve">Bai C, Chen Z, Ding Y, Ji X, Yuan J, Meng R. Long‐term safety and efficacy of stenting on correcting internal jugular vein and cerebral venous sinus stenosis. Ann Clin Transl Neurol. 2023 Jun 5;10(8):1305–13. doi:10.1002/acn3.51822 PubMed PMID: 37272913; PubMed Central PMCID: PMC10424652. </w:t>
        </w:r>
      </w:hyperlink>
      <w:r w:rsidDel="00000000" w:rsidR="00000000" w:rsidRPr="00000000">
        <w:rPr>
          <w:rtl w:val="0"/>
        </w:rPr>
      </w:r>
    </w:p>
    <w:p w:rsidR="00000000" w:rsidDel="00000000" w:rsidP="00000000" w:rsidRDefault="00000000" w:rsidRPr="00000000" w14:paraId="000000A1">
      <w:pPr>
        <w:spacing w:after="240" w:line="240" w:lineRule="auto"/>
        <w:ind w:left="264" w:firstLine="0"/>
        <w:jc w:val="both"/>
        <w:rPr>
          <w:rFonts w:ascii="Georgia" w:cs="Georgia" w:eastAsia="Georgia" w:hAnsi="Georgia"/>
          <w:sz w:val="24"/>
          <w:szCs w:val="24"/>
        </w:rPr>
      </w:pPr>
      <w:hyperlink r:id="rId71">
        <w:r w:rsidDel="00000000" w:rsidR="00000000" w:rsidRPr="00000000">
          <w:rPr>
            <w:rFonts w:ascii="Georgia" w:cs="Georgia" w:eastAsia="Georgia" w:hAnsi="Georgia"/>
            <w:sz w:val="24"/>
            <w:szCs w:val="24"/>
            <w:rtl w:val="0"/>
          </w:rPr>
          <w:t xml:space="preserve">21.</w:t>
        </w:r>
      </w:hyperlink>
      <w:r w:rsidDel="00000000" w:rsidR="00000000" w:rsidRPr="00000000">
        <w:rPr>
          <w:rFonts w:ascii="Georgia" w:cs="Georgia" w:eastAsia="Georgia" w:hAnsi="Georgia"/>
          <w:sz w:val="24"/>
          <w:szCs w:val="24"/>
          <w:rtl w:val="0"/>
        </w:rPr>
        <w:tab/>
      </w:r>
      <w:hyperlink r:id="rId72">
        <w:r w:rsidDel="00000000" w:rsidR="00000000" w:rsidRPr="00000000">
          <w:rPr>
            <w:rFonts w:ascii="Georgia" w:cs="Georgia" w:eastAsia="Georgia" w:hAnsi="Georgia"/>
            <w:sz w:val="24"/>
            <w:szCs w:val="24"/>
            <w:rtl w:val="0"/>
          </w:rPr>
          <w:t xml:space="preserve">Arcot KM, DeOrchis VS. Syndrome Sinistre: Left Brachiocephalic Vein Compression and its Neurological Manifestations. Neurol Int. 2024 Oct;16(5):5. doi:10.3390/neurolint16050087 </w:t>
        </w:r>
      </w:hyperlink>
      <w:r w:rsidDel="00000000" w:rsidR="00000000" w:rsidRPr="00000000">
        <w:rPr>
          <w:rtl w:val="0"/>
        </w:rPr>
      </w:r>
    </w:p>
    <w:p w:rsidR="00000000" w:rsidDel="00000000" w:rsidP="00000000" w:rsidRDefault="00000000" w:rsidRPr="00000000" w14:paraId="000000A2">
      <w:pPr>
        <w:spacing w:after="240" w:line="240" w:lineRule="auto"/>
        <w:ind w:left="264" w:firstLine="0"/>
        <w:jc w:val="both"/>
        <w:rPr>
          <w:rFonts w:ascii="Georgia" w:cs="Georgia" w:eastAsia="Georgia" w:hAnsi="Georgia"/>
          <w:sz w:val="24"/>
          <w:szCs w:val="24"/>
        </w:rPr>
      </w:pPr>
      <w:hyperlink r:id="rId73">
        <w:r w:rsidDel="00000000" w:rsidR="00000000" w:rsidRPr="00000000">
          <w:rPr>
            <w:rFonts w:ascii="Georgia" w:cs="Georgia" w:eastAsia="Georgia" w:hAnsi="Georgia"/>
            <w:sz w:val="24"/>
            <w:szCs w:val="24"/>
            <w:rtl w:val="0"/>
          </w:rPr>
          <w:t xml:space="preserve">22.</w:t>
        </w:r>
      </w:hyperlink>
      <w:r w:rsidDel="00000000" w:rsidR="00000000" w:rsidRPr="00000000">
        <w:rPr>
          <w:rFonts w:ascii="Georgia" w:cs="Georgia" w:eastAsia="Georgia" w:hAnsi="Georgia"/>
          <w:sz w:val="24"/>
          <w:szCs w:val="24"/>
          <w:rtl w:val="0"/>
        </w:rPr>
        <w:tab/>
      </w:r>
      <w:hyperlink r:id="rId74">
        <w:r w:rsidDel="00000000" w:rsidR="00000000" w:rsidRPr="00000000">
          <w:rPr>
            <w:rFonts w:ascii="Georgia" w:cs="Georgia" w:eastAsia="Georgia" w:hAnsi="Georgia"/>
            <w:sz w:val="24"/>
            <w:szCs w:val="24"/>
            <w:rtl w:val="0"/>
          </w:rPr>
          <w:t xml:space="preserve">Schneider CA, Rasband WS, Eliceiri KW. NIH Image to ImageJ: 25 years of Image Analysis. Nat Methods. 2012 Jul;9(7):671–5. doi:10.1038/nmeth.2089 PubMed PMID: 22930834; PubMed Central PMCID: PMC5554542. </w:t>
        </w:r>
      </w:hyperlink>
      <w:r w:rsidDel="00000000" w:rsidR="00000000" w:rsidRPr="00000000">
        <w:rPr>
          <w:rtl w:val="0"/>
        </w:rPr>
      </w:r>
    </w:p>
    <w:p w:rsidR="00000000" w:rsidDel="00000000" w:rsidP="00000000" w:rsidRDefault="00000000" w:rsidRPr="00000000" w14:paraId="000000A3">
      <w:pPr>
        <w:spacing w:after="240" w:line="240" w:lineRule="auto"/>
        <w:ind w:left="264" w:firstLine="0"/>
        <w:jc w:val="both"/>
        <w:rPr>
          <w:rFonts w:ascii="Georgia" w:cs="Georgia" w:eastAsia="Georgia" w:hAnsi="Georgia"/>
          <w:sz w:val="24"/>
          <w:szCs w:val="24"/>
        </w:rPr>
      </w:pPr>
      <w:hyperlink r:id="rId75">
        <w:r w:rsidDel="00000000" w:rsidR="00000000" w:rsidRPr="00000000">
          <w:rPr>
            <w:rFonts w:ascii="Georgia" w:cs="Georgia" w:eastAsia="Georgia" w:hAnsi="Georgia"/>
            <w:sz w:val="24"/>
            <w:szCs w:val="24"/>
            <w:rtl w:val="0"/>
          </w:rPr>
          <w:t xml:space="preserve">23.</w:t>
        </w:r>
      </w:hyperlink>
      <w:r w:rsidDel="00000000" w:rsidR="00000000" w:rsidRPr="00000000">
        <w:rPr>
          <w:rFonts w:ascii="Georgia" w:cs="Georgia" w:eastAsia="Georgia" w:hAnsi="Georgia"/>
          <w:sz w:val="24"/>
          <w:szCs w:val="24"/>
          <w:rtl w:val="0"/>
        </w:rPr>
        <w:tab/>
      </w:r>
      <w:hyperlink r:id="rId76">
        <w:r w:rsidDel="00000000" w:rsidR="00000000" w:rsidRPr="00000000">
          <w:rPr>
            <w:rFonts w:ascii="Georgia" w:cs="Georgia" w:eastAsia="Georgia" w:hAnsi="Georgia"/>
            <w:sz w:val="24"/>
            <w:szCs w:val="24"/>
            <w:rtl w:val="0"/>
          </w:rPr>
          <w:t xml:space="preserve">Busner J, Targum SD. The Clinical Global Impressions Scale. Psychiatry Edgmont. 2007 Jul;4(7):28–37. PubMed PMID: 20526405; PubMed Central PMCID: PMC2880930. </w:t>
        </w:r>
      </w:hyperlink>
      <w:r w:rsidDel="00000000" w:rsidR="00000000" w:rsidRPr="00000000">
        <w:rPr>
          <w:rtl w:val="0"/>
        </w:rPr>
      </w:r>
    </w:p>
    <w:p w:rsidR="00000000" w:rsidDel="00000000" w:rsidP="00000000" w:rsidRDefault="00000000" w:rsidRPr="00000000" w14:paraId="000000A4">
      <w:pPr>
        <w:spacing w:after="240" w:line="240" w:lineRule="auto"/>
        <w:ind w:left="264" w:firstLine="0"/>
        <w:jc w:val="both"/>
        <w:rPr>
          <w:rFonts w:ascii="Georgia" w:cs="Georgia" w:eastAsia="Georgia" w:hAnsi="Georgia"/>
          <w:sz w:val="24"/>
          <w:szCs w:val="24"/>
        </w:rPr>
      </w:pPr>
      <w:hyperlink r:id="rId77">
        <w:r w:rsidDel="00000000" w:rsidR="00000000" w:rsidRPr="00000000">
          <w:rPr>
            <w:rFonts w:ascii="Georgia" w:cs="Georgia" w:eastAsia="Georgia" w:hAnsi="Georgia"/>
            <w:sz w:val="24"/>
            <w:szCs w:val="24"/>
            <w:rtl w:val="0"/>
          </w:rPr>
          <w:t xml:space="preserve">24.</w:t>
        </w:r>
      </w:hyperlink>
      <w:r w:rsidDel="00000000" w:rsidR="00000000" w:rsidRPr="00000000">
        <w:rPr>
          <w:rFonts w:ascii="Georgia" w:cs="Georgia" w:eastAsia="Georgia" w:hAnsi="Georgia"/>
          <w:sz w:val="24"/>
          <w:szCs w:val="24"/>
          <w:rtl w:val="0"/>
        </w:rPr>
        <w:tab/>
      </w:r>
      <w:hyperlink r:id="rId78">
        <w:r w:rsidDel="00000000" w:rsidR="00000000" w:rsidRPr="00000000">
          <w:rPr>
            <w:rFonts w:ascii="Georgia" w:cs="Georgia" w:eastAsia="Georgia" w:hAnsi="Georgia"/>
            <w:sz w:val="24"/>
            <w:szCs w:val="24"/>
            <w:rtl w:val="0"/>
          </w:rPr>
          <w:t xml:space="preserve">Shapiro E. Adolf Fick--forgotten genius of cardiology. Am J Cardiol. 1972 Nov 8;30(6):662–5. doi:10.1016/0002-9149(72)90606-6 PubMed PMID: 4563215. </w:t>
        </w:r>
      </w:hyperlink>
      <w:r w:rsidDel="00000000" w:rsidR="00000000" w:rsidRPr="00000000">
        <w:rPr>
          <w:rtl w:val="0"/>
        </w:rPr>
      </w:r>
    </w:p>
    <w:p w:rsidR="00000000" w:rsidDel="00000000" w:rsidP="00000000" w:rsidRDefault="00000000" w:rsidRPr="00000000" w14:paraId="000000A5">
      <w:pPr>
        <w:spacing w:after="240" w:line="240" w:lineRule="auto"/>
        <w:ind w:left="264" w:firstLine="0"/>
        <w:jc w:val="both"/>
        <w:rPr>
          <w:rFonts w:ascii="Georgia" w:cs="Georgia" w:eastAsia="Georgia" w:hAnsi="Georgia"/>
          <w:sz w:val="24"/>
          <w:szCs w:val="24"/>
        </w:rPr>
      </w:pPr>
      <w:hyperlink r:id="rId79">
        <w:r w:rsidDel="00000000" w:rsidR="00000000" w:rsidRPr="00000000">
          <w:rPr>
            <w:rFonts w:ascii="Georgia" w:cs="Georgia" w:eastAsia="Georgia" w:hAnsi="Georgia"/>
            <w:sz w:val="24"/>
            <w:szCs w:val="24"/>
            <w:rtl w:val="0"/>
          </w:rPr>
          <w:t xml:space="preserve">25.</w:t>
        </w:r>
      </w:hyperlink>
      <w:r w:rsidDel="00000000" w:rsidR="00000000" w:rsidRPr="00000000">
        <w:rPr>
          <w:rFonts w:ascii="Georgia" w:cs="Georgia" w:eastAsia="Georgia" w:hAnsi="Georgia"/>
          <w:sz w:val="24"/>
          <w:szCs w:val="24"/>
          <w:rtl w:val="0"/>
        </w:rPr>
        <w:tab/>
      </w:r>
      <w:hyperlink r:id="rId80">
        <w:r w:rsidDel="00000000" w:rsidR="00000000" w:rsidRPr="00000000">
          <w:rPr>
            <w:rFonts w:ascii="Georgia" w:cs="Georgia" w:eastAsia="Georgia" w:hAnsi="Georgia"/>
            <w:sz w:val="24"/>
            <w:szCs w:val="24"/>
            <w:rtl w:val="0"/>
          </w:rPr>
          <w:t xml:space="preserve">Yates BJ, Miller AD, Perlmutter SI. Plastic changes in processing of graviceptive signals during spaceflight potentially contribute to postflight orthostatic intolerance. J Vestib Res. 2003;13(4–6):395–404. </w:t>
        </w:r>
      </w:hyperlink>
      <w:r w:rsidDel="00000000" w:rsidR="00000000" w:rsidRPr="00000000">
        <w:rPr>
          <w:rtl w:val="0"/>
        </w:rPr>
      </w:r>
    </w:p>
    <w:p w:rsidR="00000000" w:rsidDel="00000000" w:rsidP="00000000" w:rsidRDefault="00000000" w:rsidRPr="00000000" w14:paraId="000000A6">
      <w:pPr>
        <w:spacing w:after="240" w:line="240" w:lineRule="auto"/>
        <w:ind w:left="264" w:firstLine="0"/>
        <w:jc w:val="both"/>
        <w:rPr>
          <w:rFonts w:ascii="Georgia" w:cs="Georgia" w:eastAsia="Georgia" w:hAnsi="Georgia"/>
          <w:sz w:val="24"/>
          <w:szCs w:val="24"/>
        </w:rPr>
      </w:pPr>
      <w:hyperlink r:id="rId81">
        <w:r w:rsidDel="00000000" w:rsidR="00000000" w:rsidRPr="00000000">
          <w:rPr>
            <w:rFonts w:ascii="Georgia" w:cs="Georgia" w:eastAsia="Georgia" w:hAnsi="Georgia"/>
            <w:sz w:val="24"/>
            <w:szCs w:val="24"/>
            <w:rtl w:val="0"/>
          </w:rPr>
          <w:t xml:space="preserve">26.</w:t>
        </w:r>
      </w:hyperlink>
      <w:r w:rsidDel="00000000" w:rsidR="00000000" w:rsidRPr="00000000">
        <w:rPr>
          <w:rFonts w:ascii="Georgia" w:cs="Georgia" w:eastAsia="Georgia" w:hAnsi="Georgia"/>
          <w:sz w:val="24"/>
          <w:szCs w:val="24"/>
          <w:rtl w:val="0"/>
        </w:rPr>
        <w:tab/>
      </w:r>
      <w:hyperlink r:id="rId82">
        <w:r w:rsidDel="00000000" w:rsidR="00000000" w:rsidRPr="00000000">
          <w:rPr>
            <w:rFonts w:ascii="Georgia" w:cs="Georgia" w:eastAsia="Georgia" w:hAnsi="Georgia"/>
            <w:sz w:val="24"/>
            <w:szCs w:val="24"/>
            <w:rtl w:val="0"/>
          </w:rPr>
          <w:t xml:space="preserve">Benveniste H, Elkin R, Heerdt PM, Koundal S, Xue Y, Lee H, et al. The glymphatic system and its role in cerebral homeostasis. J Appl Physiol. 2020 Dec 5. Located at: Bethesda, MD. doi:10.1152/japplphysiol.00852.2019 </w:t>
        </w:r>
      </w:hyperlink>
      <w:r w:rsidDel="00000000" w:rsidR="00000000" w:rsidRPr="00000000">
        <w:rPr>
          <w:rtl w:val="0"/>
        </w:rPr>
      </w:r>
    </w:p>
    <w:p w:rsidR="00000000" w:rsidDel="00000000" w:rsidP="00000000" w:rsidRDefault="00000000" w:rsidRPr="00000000" w14:paraId="000000A7">
      <w:pPr>
        <w:spacing w:after="240" w:line="240" w:lineRule="auto"/>
        <w:ind w:left="264" w:firstLine="0"/>
        <w:jc w:val="both"/>
        <w:rPr>
          <w:rFonts w:ascii="Georgia" w:cs="Georgia" w:eastAsia="Georgia" w:hAnsi="Georgia"/>
          <w:sz w:val="24"/>
          <w:szCs w:val="24"/>
        </w:rPr>
      </w:pPr>
      <w:hyperlink r:id="rId83">
        <w:r w:rsidDel="00000000" w:rsidR="00000000" w:rsidRPr="00000000">
          <w:rPr>
            <w:rFonts w:ascii="Georgia" w:cs="Georgia" w:eastAsia="Georgia" w:hAnsi="Georgia"/>
            <w:sz w:val="24"/>
            <w:szCs w:val="24"/>
            <w:rtl w:val="0"/>
          </w:rPr>
          <w:t xml:space="preserve">27.</w:t>
        </w:r>
      </w:hyperlink>
      <w:r w:rsidDel="00000000" w:rsidR="00000000" w:rsidRPr="00000000">
        <w:rPr>
          <w:rFonts w:ascii="Georgia" w:cs="Georgia" w:eastAsia="Georgia" w:hAnsi="Georgia"/>
          <w:sz w:val="24"/>
          <w:szCs w:val="24"/>
          <w:rtl w:val="0"/>
        </w:rPr>
        <w:tab/>
      </w:r>
      <w:hyperlink r:id="rId84">
        <w:r w:rsidDel="00000000" w:rsidR="00000000" w:rsidRPr="00000000">
          <w:rPr>
            <w:rFonts w:ascii="Georgia" w:cs="Georgia" w:eastAsia="Georgia" w:hAnsi="Georgia"/>
            <w:sz w:val="24"/>
            <w:szCs w:val="24"/>
            <w:rtl w:val="0"/>
          </w:rPr>
          <w:t xml:space="preserve">Dworkin RH, Turk DC, Wyrwich KW, Beaton D, Cleeland CS, Farrar JT, et al. Interpreting the Clinical Importance of Treatment Outcomes in Chronic Pain Clinical Trials: IMMPACT Recommendations. J Pain. 2008 Feb 1;9(2):105–21. doi:10.1016/j.jpain.2007.09.005 PubMed PMID: 18055266. </w:t>
        </w:r>
      </w:hyperlink>
      <w:r w:rsidDel="00000000" w:rsidR="00000000" w:rsidRPr="00000000">
        <w:rPr>
          <w:rtl w:val="0"/>
        </w:rPr>
      </w:r>
    </w:p>
    <w:p w:rsidR="00000000" w:rsidDel="00000000" w:rsidP="00000000" w:rsidRDefault="00000000" w:rsidRPr="00000000" w14:paraId="000000A8">
      <w:pPr>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A9">
      <w:pPr>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AA">
      <w:pPr>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AB">
      <w:pPr>
        <w:rPr>
          <w:rFonts w:ascii="Georgia" w:cs="Georgia" w:eastAsia="Georgia" w:hAnsi="Georgi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C">
      <w:pPr>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8"/>
          <w:szCs w:val="28"/>
          <w:rtl w:val="0"/>
        </w:rPr>
        <w:t xml:space="preserve">Figure Captions</w:t>
      </w:r>
      <w:r w:rsidDel="00000000" w:rsidR="00000000" w:rsidRPr="00000000">
        <w:rPr>
          <w:rtl w:val="0"/>
        </w:rPr>
      </w:r>
    </w:p>
    <w:p w:rsidR="00000000" w:rsidDel="00000000" w:rsidP="00000000" w:rsidRDefault="00000000" w:rsidRPr="00000000" w14:paraId="000000AD">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E">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Figure 1.</w:t>
      </w:r>
      <w:r w:rsidDel="00000000" w:rsidR="00000000" w:rsidRPr="00000000">
        <w:rPr>
          <w:rFonts w:ascii="Georgia" w:cs="Georgia" w:eastAsia="Georgia" w:hAnsi="Georgia"/>
          <w:sz w:val="24"/>
          <w:szCs w:val="24"/>
          <w:rtl w:val="0"/>
        </w:rPr>
        <w:t xml:space="preserve"> Pre-to-post comparisons. (A) Significant difference in the Wilcoxon matched-pairs test for systolic blood pressure (SBP) drop pre-to-post (B) Wilcoxon matched-pairs signed rank tests for time-to-peak (TTP, seconds). (C) Wilcoxon matched-pairs signed rank tests for the exponential decay constant (EDC, seconds</w:t>
      </w:r>
      <w:r w:rsidDel="00000000" w:rsidR="00000000" w:rsidRPr="00000000">
        <w:rPr>
          <w:rFonts w:ascii="Georgia" w:cs="Georgia" w:eastAsia="Georgia" w:hAnsi="Georgia"/>
          <w:sz w:val="24"/>
          <w:szCs w:val="24"/>
          <w:vertAlign w:val="superscript"/>
          <w:rtl w:val="0"/>
        </w:rPr>
        <w:t xml:space="preserve">-1</w:t>
      </w:r>
      <w:r w:rsidDel="00000000" w:rsidR="00000000" w:rsidRPr="00000000">
        <w:rPr>
          <w:rFonts w:ascii="Georgia" w:cs="Georgia" w:eastAsia="Georgia" w:hAnsi="Georgia"/>
          <w:sz w:val="24"/>
          <w:szCs w:val="24"/>
          <w:rtl w:val="0"/>
        </w:rPr>
        <w:t xml:space="preserve">). (D) Wilcoxon matched-pairs signed rank test for the midodrine equivalent dose (MEQ). Values for the left internal jugular vein, right internal jugular vein, and the bi-jugular average were compared for the angiographic parameters TTP and EDC.</w:t>
      </w:r>
    </w:p>
    <w:p w:rsidR="00000000" w:rsidDel="00000000" w:rsidP="00000000" w:rsidRDefault="00000000" w:rsidRPr="00000000" w14:paraId="000000AF">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0">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Figure 2.</w:t>
      </w:r>
      <w:r w:rsidDel="00000000" w:rsidR="00000000" w:rsidRPr="00000000">
        <w:rPr>
          <w:rFonts w:ascii="Georgia" w:cs="Georgia" w:eastAsia="Georgia" w:hAnsi="Georgia"/>
          <w:sz w:val="24"/>
          <w:szCs w:val="24"/>
          <w:rtl w:val="0"/>
        </w:rPr>
        <w:t xml:space="preserve"> Receiver Operating Characteristic (ROC) curve for the ability of the pre-to-post percentage change in systolic blood pressure drop to predict a symptomatic improvement in patients. The curve suggests that a 20.4% improvement in blood pressure drop is the optimal threshold (star) for predicting whether a patient will feel symptomatically better.</w:t>
      </w:r>
    </w:p>
    <w:p w:rsidR="00000000" w:rsidDel="00000000" w:rsidP="00000000" w:rsidRDefault="00000000" w:rsidRPr="00000000" w14:paraId="000000B1">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2">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Figure 3.</w:t>
      </w:r>
      <w:r w:rsidDel="00000000" w:rsidR="00000000" w:rsidRPr="00000000">
        <w:rPr>
          <w:rFonts w:ascii="Georgia" w:cs="Georgia" w:eastAsia="Georgia" w:hAnsi="Georgia"/>
          <w:sz w:val="24"/>
          <w:szCs w:val="24"/>
          <w:rtl w:val="0"/>
        </w:rPr>
        <w:t xml:space="preserve"> Multidomain scatter plot showing how individual patients improved across all three clinical domains simultaneously – blood pressure (SBP drop), medication (MEQ), and symptoms (CGI). The plot is based only on patients that were on vasoactive medication prior to treatment (n=24). Most of the dots are clustered in the upper-right quadrant suggesting that patients who had both an objective improvement in their blood pressure and a reduction in their medication need also felt better (CGI </w:t>
      </w:r>
      <w:r w:rsidDel="00000000" w:rsidR="00000000" w:rsidRPr="00000000">
        <w:rPr>
          <w:rFonts w:ascii="Georgia" w:cs="Georgia" w:eastAsia="Georgia" w:hAnsi="Georgia"/>
          <w:sz w:val="24"/>
          <w:szCs w:val="24"/>
          <w:u w:val="single"/>
          <w:rtl w:val="0"/>
        </w:rPr>
        <w:t xml:space="preserve">&lt;</w:t>
      </w:r>
      <w:r w:rsidDel="00000000" w:rsidR="00000000" w:rsidRPr="00000000">
        <w:rPr>
          <w:rFonts w:ascii="Georgia" w:cs="Georgia" w:eastAsia="Georgia" w:hAnsi="Georgia"/>
          <w:sz w:val="24"/>
          <w:szCs w:val="24"/>
          <w:rtl w:val="0"/>
        </w:rPr>
        <w:t xml:space="preserve">3).</w:t>
      </w:r>
    </w:p>
    <w:p w:rsidR="00000000" w:rsidDel="00000000" w:rsidP="00000000" w:rsidRDefault="00000000" w:rsidRPr="00000000" w14:paraId="000000B3">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4">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Figure 4.</w:t>
      </w:r>
      <w:r w:rsidDel="00000000" w:rsidR="00000000" w:rsidRPr="00000000">
        <w:rPr>
          <w:rFonts w:ascii="Georgia" w:cs="Georgia" w:eastAsia="Georgia" w:hAnsi="Georgia"/>
          <w:sz w:val="24"/>
          <w:szCs w:val="24"/>
          <w:rtl w:val="0"/>
        </w:rPr>
        <w:t xml:space="preserve"> Plot of the reduction in systolic blood pressure (SBP) drop from pre-treatment to post-treatment. Negative values indicate greater reductions in SBP drop and thus better improvements in blood pressure regulation. The bars are color-coded by the clinical global improvement (CGI); blue CGI </w:t>
      </w:r>
      <w:r w:rsidDel="00000000" w:rsidR="00000000" w:rsidRPr="00000000">
        <w:rPr>
          <w:rFonts w:ascii="Georgia" w:cs="Georgia" w:eastAsia="Georgia" w:hAnsi="Georgia"/>
          <w:sz w:val="24"/>
          <w:szCs w:val="24"/>
          <w:u w:val="single"/>
          <w:rtl w:val="0"/>
        </w:rPr>
        <w:t xml:space="preserve">&lt;</w:t>
      </w:r>
      <w:r w:rsidDel="00000000" w:rsidR="00000000" w:rsidRPr="00000000">
        <w:rPr>
          <w:rFonts w:ascii="Georgia" w:cs="Georgia" w:eastAsia="Georgia" w:hAnsi="Georgia"/>
          <w:sz w:val="24"/>
          <w:szCs w:val="24"/>
          <w:rtl w:val="0"/>
        </w:rPr>
        <w:t xml:space="preserve">3,  red CGI &gt;3. The plot shows that not all patients who had a reduction in SBP drop from supine to standing felt an improvement in their clinical symptoms. Vice versa, some patients felt their symptoms had improved without showing a reduction in SBP drop. </w:t>
      </w:r>
      <w:r w:rsidDel="00000000" w:rsidR="00000000" w:rsidRPr="00000000">
        <w:rPr>
          <w:rtl w:val="0"/>
        </w:rPr>
      </w:r>
    </w:p>
    <w:sectPr>
      <w:headerReference r:id="rId85" w:type="default"/>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SJ35oO" TargetMode="External"/><Relationship Id="rId84" Type="http://schemas.openxmlformats.org/officeDocument/2006/relationships/hyperlink" Target="https://www.zotero.org/google-docs/?SJ35oO" TargetMode="External"/><Relationship Id="rId83" Type="http://schemas.openxmlformats.org/officeDocument/2006/relationships/hyperlink" Target="https://www.zotero.org/google-docs/?SJ35oO" TargetMode="External"/><Relationship Id="rId42" Type="http://schemas.openxmlformats.org/officeDocument/2006/relationships/hyperlink" Target="https://www.zotero.org/google-docs/?SJ35oO" TargetMode="External"/><Relationship Id="rId41" Type="http://schemas.openxmlformats.org/officeDocument/2006/relationships/hyperlink" Target="https://www.zotero.org/google-docs/?SJ35oO" TargetMode="External"/><Relationship Id="rId85" Type="http://schemas.openxmlformats.org/officeDocument/2006/relationships/header" Target="header1.xml"/><Relationship Id="rId44" Type="http://schemas.openxmlformats.org/officeDocument/2006/relationships/hyperlink" Target="https://www.zotero.org/google-docs/?SJ35oO" TargetMode="External"/><Relationship Id="rId43" Type="http://schemas.openxmlformats.org/officeDocument/2006/relationships/hyperlink" Target="https://www.zotero.org/google-docs/?SJ35oO" TargetMode="External"/><Relationship Id="rId46" Type="http://schemas.openxmlformats.org/officeDocument/2006/relationships/hyperlink" Target="https://www.zotero.org/google-docs/?SJ35oO" TargetMode="External"/><Relationship Id="rId45" Type="http://schemas.openxmlformats.org/officeDocument/2006/relationships/hyperlink" Target="https://www.zotero.org/google-docs/?SJ35oO" TargetMode="External"/><Relationship Id="rId80" Type="http://schemas.openxmlformats.org/officeDocument/2006/relationships/hyperlink" Target="https://www.zotero.org/google-docs/?SJ35oO" TargetMode="External"/><Relationship Id="rId82" Type="http://schemas.openxmlformats.org/officeDocument/2006/relationships/hyperlink" Target="https://www.zotero.org/google-docs/?SJ35oO" TargetMode="External"/><Relationship Id="rId81" Type="http://schemas.openxmlformats.org/officeDocument/2006/relationships/hyperlink" Target="https://www.zotero.org/google-docs/?SJ35o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i7f6Mj" TargetMode="External"/><Relationship Id="rId48" Type="http://schemas.openxmlformats.org/officeDocument/2006/relationships/hyperlink" Target="https://www.zotero.org/google-docs/?SJ35oO" TargetMode="External"/><Relationship Id="rId47" Type="http://schemas.openxmlformats.org/officeDocument/2006/relationships/hyperlink" Target="https://www.zotero.org/google-docs/?SJ35oO" TargetMode="External"/><Relationship Id="rId49" Type="http://schemas.openxmlformats.org/officeDocument/2006/relationships/hyperlink" Target="https://www.zotero.org/google-docs/?SJ35o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zotero.org/google-docs/?zKJz3q" TargetMode="External"/><Relationship Id="rId8" Type="http://schemas.openxmlformats.org/officeDocument/2006/relationships/hyperlink" Target="https://www.zotero.org/google-docs/?Gnjpa6" TargetMode="External"/><Relationship Id="rId73" Type="http://schemas.openxmlformats.org/officeDocument/2006/relationships/hyperlink" Target="https://www.zotero.org/google-docs/?SJ35oO" TargetMode="External"/><Relationship Id="rId72" Type="http://schemas.openxmlformats.org/officeDocument/2006/relationships/hyperlink" Target="https://www.zotero.org/google-docs/?SJ35oO" TargetMode="External"/><Relationship Id="rId31" Type="http://schemas.openxmlformats.org/officeDocument/2006/relationships/hyperlink" Target="https://www.zotero.org/google-docs/?SJ35oO" TargetMode="External"/><Relationship Id="rId75" Type="http://schemas.openxmlformats.org/officeDocument/2006/relationships/hyperlink" Target="https://www.zotero.org/google-docs/?SJ35oO" TargetMode="External"/><Relationship Id="rId30" Type="http://schemas.openxmlformats.org/officeDocument/2006/relationships/hyperlink" Target="https://www.zotero.org/google-docs/?R8SS68" TargetMode="External"/><Relationship Id="rId74" Type="http://schemas.openxmlformats.org/officeDocument/2006/relationships/hyperlink" Target="https://www.zotero.org/google-docs/?SJ35oO" TargetMode="External"/><Relationship Id="rId33" Type="http://schemas.openxmlformats.org/officeDocument/2006/relationships/hyperlink" Target="https://www.zotero.org/google-docs/?SJ35oO" TargetMode="External"/><Relationship Id="rId77" Type="http://schemas.openxmlformats.org/officeDocument/2006/relationships/hyperlink" Target="https://www.zotero.org/google-docs/?SJ35oO" TargetMode="External"/><Relationship Id="rId32" Type="http://schemas.openxmlformats.org/officeDocument/2006/relationships/hyperlink" Target="https://www.zotero.org/google-docs/?SJ35oO" TargetMode="External"/><Relationship Id="rId76" Type="http://schemas.openxmlformats.org/officeDocument/2006/relationships/hyperlink" Target="https://www.zotero.org/google-docs/?SJ35oO" TargetMode="External"/><Relationship Id="rId35" Type="http://schemas.openxmlformats.org/officeDocument/2006/relationships/hyperlink" Target="https://www.zotero.org/google-docs/?SJ35oO" TargetMode="External"/><Relationship Id="rId79" Type="http://schemas.openxmlformats.org/officeDocument/2006/relationships/hyperlink" Target="https://www.zotero.org/google-docs/?SJ35oO" TargetMode="External"/><Relationship Id="rId34" Type="http://schemas.openxmlformats.org/officeDocument/2006/relationships/hyperlink" Target="https://www.zotero.org/google-docs/?SJ35oO" TargetMode="External"/><Relationship Id="rId78" Type="http://schemas.openxmlformats.org/officeDocument/2006/relationships/hyperlink" Target="https://www.zotero.org/google-docs/?SJ35oO" TargetMode="External"/><Relationship Id="rId71" Type="http://schemas.openxmlformats.org/officeDocument/2006/relationships/hyperlink" Target="https://www.zotero.org/google-docs/?SJ35oO" TargetMode="External"/><Relationship Id="rId70" Type="http://schemas.openxmlformats.org/officeDocument/2006/relationships/hyperlink" Target="https://www.zotero.org/google-docs/?SJ35oO" TargetMode="External"/><Relationship Id="rId37" Type="http://schemas.openxmlformats.org/officeDocument/2006/relationships/hyperlink" Target="https://www.zotero.org/google-docs/?SJ35oO" TargetMode="External"/><Relationship Id="rId36" Type="http://schemas.openxmlformats.org/officeDocument/2006/relationships/hyperlink" Target="https://www.zotero.org/google-docs/?SJ35oO" TargetMode="External"/><Relationship Id="rId39" Type="http://schemas.openxmlformats.org/officeDocument/2006/relationships/hyperlink" Target="https://www.zotero.org/google-docs/?SJ35oO" TargetMode="External"/><Relationship Id="rId38" Type="http://schemas.openxmlformats.org/officeDocument/2006/relationships/hyperlink" Target="https://www.zotero.org/google-docs/?SJ35oO" TargetMode="External"/><Relationship Id="rId62" Type="http://schemas.openxmlformats.org/officeDocument/2006/relationships/hyperlink" Target="https://www.zotero.org/google-docs/?SJ35oO" TargetMode="External"/><Relationship Id="rId61" Type="http://schemas.openxmlformats.org/officeDocument/2006/relationships/hyperlink" Target="https://www.zotero.org/google-docs/?SJ35oO" TargetMode="External"/><Relationship Id="rId20" Type="http://schemas.openxmlformats.org/officeDocument/2006/relationships/hyperlink" Target="https://www.zotero.org/google-docs/?y1S4xJ" TargetMode="External"/><Relationship Id="rId64" Type="http://schemas.openxmlformats.org/officeDocument/2006/relationships/hyperlink" Target="https://www.zotero.org/google-docs/?SJ35oO" TargetMode="External"/><Relationship Id="rId63" Type="http://schemas.openxmlformats.org/officeDocument/2006/relationships/hyperlink" Target="https://www.zotero.org/google-docs/?SJ35oO" TargetMode="External"/><Relationship Id="rId22" Type="http://schemas.openxmlformats.org/officeDocument/2006/relationships/hyperlink" Target="https://www.zotero.org/google-docs/?4BIGsO" TargetMode="External"/><Relationship Id="rId66" Type="http://schemas.openxmlformats.org/officeDocument/2006/relationships/hyperlink" Target="https://www.zotero.org/google-docs/?SJ35oO" TargetMode="External"/><Relationship Id="rId21" Type="http://schemas.openxmlformats.org/officeDocument/2006/relationships/hyperlink" Target="https://www.zotero.org/google-docs/?cRSR3f" TargetMode="External"/><Relationship Id="rId65" Type="http://schemas.openxmlformats.org/officeDocument/2006/relationships/hyperlink" Target="https://www.zotero.org/google-docs/?SJ35oO" TargetMode="External"/><Relationship Id="rId24" Type="http://schemas.openxmlformats.org/officeDocument/2006/relationships/hyperlink" Target="https://www.zotero.org/google-docs/?hzSGnS" TargetMode="External"/><Relationship Id="rId68" Type="http://schemas.openxmlformats.org/officeDocument/2006/relationships/hyperlink" Target="https://www.zotero.org/google-docs/?SJ35oO" TargetMode="External"/><Relationship Id="rId23" Type="http://schemas.openxmlformats.org/officeDocument/2006/relationships/hyperlink" Target="https://www.zotero.org/google-docs/?vLDXYM" TargetMode="External"/><Relationship Id="rId67" Type="http://schemas.openxmlformats.org/officeDocument/2006/relationships/hyperlink" Target="https://www.zotero.org/google-docs/?SJ35oO" TargetMode="External"/><Relationship Id="rId60" Type="http://schemas.openxmlformats.org/officeDocument/2006/relationships/hyperlink" Target="https://www.zotero.org/google-docs/?SJ35oO" TargetMode="External"/><Relationship Id="rId26" Type="http://schemas.openxmlformats.org/officeDocument/2006/relationships/hyperlink" Target="https://www.zotero.org/google-docs/?eBK941" TargetMode="External"/><Relationship Id="rId25" Type="http://schemas.openxmlformats.org/officeDocument/2006/relationships/hyperlink" Target="https://www.zotero.org/google-docs/?7yhuCA" TargetMode="External"/><Relationship Id="rId69" Type="http://schemas.openxmlformats.org/officeDocument/2006/relationships/hyperlink" Target="https://www.zotero.org/google-docs/?SJ35oO" TargetMode="External"/><Relationship Id="rId28" Type="http://schemas.openxmlformats.org/officeDocument/2006/relationships/hyperlink" Target="https://www.zotero.org/google-docs/?dl5OqR" TargetMode="External"/><Relationship Id="rId27" Type="http://schemas.openxmlformats.org/officeDocument/2006/relationships/hyperlink" Target="https://www.zotero.org/google-docs/?QP5TeU" TargetMode="External"/><Relationship Id="rId29" Type="http://schemas.openxmlformats.org/officeDocument/2006/relationships/hyperlink" Target="https://www.zotero.org/google-docs/?JU6LyN" TargetMode="External"/><Relationship Id="rId51" Type="http://schemas.openxmlformats.org/officeDocument/2006/relationships/hyperlink" Target="https://www.zotero.org/google-docs/?SJ35oO" TargetMode="External"/><Relationship Id="rId50" Type="http://schemas.openxmlformats.org/officeDocument/2006/relationships/hyperlink" Target="https://www.zotero.org/google-docs/?SJ35oO" TargetMode="External"/><Relationship Id="rId53" Type="http://schemas.openxmlformats.org/officeDocument/2006/relationships/hyperlink" Target="https://www.zotero.org/google-docs/?SJ35oO" TargetMode="External"/><Relationship Id="rId52" Type="http://schemas.openxmlformats.org/officeDocument/2006/relationships/hyperlink" Target="https://www.zotero.org/google-docs/?SJ35oO" TargetMode="External"/><Relationship Id="rId11" Type="http://schemas.openxmlformats.org/officeDocument/2006/relationships/hyperlink" Target="https://www.zotero.org/google-docs/?mz4sYm" TargetMode="External"/><Relationship Id="rId55" Type="http://schemas.openxmlformats.org/officeDocument/2006/relationships/hyperlink" Target="https://www.zotero.org/google-docs/?SJ35oO" TargetMode="External"/><Relationship Id="rId10" Type="http://schemas.openxmlformats.org/officeDocument/2006/relationships/hyperlink" Target="https://www.zotero.org/google-docs/?72mEaP" TargetMode="External"/><Relationship Id="rId54" Type="http://schemas.openxmlformats.org/officeDocument/2006/relationships/hyperlink" Target="https://www.zotero.org/google-docs/?SJ35oO" TargetMode="External"/><Relationship Id="rId13" Type="http://schemas.openxmlformats.org/officeDocument/2006/relationships/hyperlink" Target="https://www.zotero.org/google-docs/?Q4B5vI" TargetMode="External"/><Relationship Id="rId57" Type="http://schemas.openxmlformats.org/officeDocument/2006/relationships/hyperlink" Target="https://www.zotero.org/google-docs/?SJ35oO" TargetMode="External"/><Relationship Id="rId12" Type="http://schemas.openxmlformats.org/officeDocument/2006/relationships/hyperlink" Target="https://www.zotero.org/google-docs/?QcGtDI" TargetMode="External"/><Relationship Id="rId56" Type="http://schemas.openxmlformats.org/officeDocument/2006/relationships/hyperlink" Target="https://www.zotero.org/google-docs/?SJ35oO" TargetMode="External"/><Relationship Id="rId15" Type="http://schemas.openxmlformats.org/officeDocument/2006/relationships/hyperlink" Target="https://www.zotero.org/google-docs/?KfV9uV" TargetMode="External"/><Relationship Id="rId59" Type="http://schemas.openxmlformats.org/officeDocument/2006/relationships/hyperlink" Target="https://www.zotero.org/google-docs/?SJ35oO" TargetMode="External"/><Relationship Id="rId14" Type="http://schemas.openxmlformats.org/officeDocument/2006/relationships/hyperlink" Target="https://www.zotero.org/google-docs/?e07Oyq" TargetMode="External"/><Relationship Id="rId58" Type="http://schemas.openxmlformats.org/officeDocument/2006/relationships/hyperlink" Target="https://www.zotero.org/google-docs/?SJ35oO" TargetMode="External"/><Relationship Id="rId17" Type="http://schemas.openxmlformats.org/officeDocument/2006/relationships/hyperlink" Target="https://www.zotero.org/google-docs/?0Rbcd4" TargetMode="External"/><Relationship Id="rId16" Type="http://schemas.openxmlformats.org/officeDocument/2006/relationships/hyperlink" Target="https://www.zotero.org/google-docs/?1ezpHL" TargetMode="External"/><Relationship Id="rId19" Type="http://schemas.openxmlformats.org/officeDocument/2006/relationships/hyperlink" Target="https://www.zotero.org/google-docs/?4oCAWG" TargetMode="External"/><Relationship Id="rId18" Type="http://schemas.openxmlformats.org/officeDocument/2006/relationships/hyperlink" Target="https://www.zotero.org/google-docs/?OyloN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n+Ni7rSJX8Dxqb6CL6q2YmK2Uw==">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