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F3A5F"/>
          <w:sz w:val="56"/>
        </w:rPr>
        <w:t>Strategic Buyer Outreach Platform</w:t>
      </w:r>
    </w:p>
    <w:p>
      <w:pPr>
        <w:jc w:val="center"/>
      </w:pPr>
      <w:r>
        <w:rPr>
          <w:i/>
          <w:color w:val="2C7A7B"/>
          <w:sz w:val="28"/>
        </w:rPr>
        <w:t>Consolidated Business Analyst Specification — v2.0</w:t>
      </w:r>
    </w:p>
    <w:p>
      <w:pPr>
        <w:spacing w:before="1200"/>
        <w:jc w:val="center"/>
      </w:pPr>
      <w:r>
        <w:rPr>
          <w:b/>
          <w:color w:val="1F3A5F"/>
          <w:sz w:val="26"/>
        </w:rPr>
        <w:t>Velocity Capital</w:t>
      </w:r>
    </w:p>
    <w:p>
      <w:pPr>
        <w:jc w:val="center"/>
      </w:pPr>
      <w:r>
        <w:rPr>
          <w:color w:val="4A5568"/>
          <w:sz w:val="22"/>
        </w:rPr>
        <w:t>Prepared for: Jeremy Pak</w:t>
      </w:r>
    </w:p>
    <w:p>
      <w:pPr>
        <w:jc w:val="center"/>
      </w:pPr>
      <w:r>
        <w:rPr>
          <w:color w:val="4A5568"/>
          <w:sz w:val="22"/>
        </w:rPr>
        <w:t>Date: 25 May 2026</w:t>
      </w:r>
    </w:p>
    <w:p>
      <w:pPr>
        <w:jc w:val="center"/>
      </w:pPr>
      <w:r>
        <w:rPr>
          <w:i/>
          <w:color w:val="4A5568"/>
          <w:sz w:val="22"/>
        </w:rPr>
        <w:t>Status: Specification consolidated post inputs deep dive. Ready for build.</w:t>
      </w:r>
    </w:p>
    <w:p>
      <w:r>
        <w:br w:type="page"/>
      </w:r>
    </w:p>
    <w:p>
      <w:pPr>
        <w:spacing w:before="240" w:after="120"/>
        <w:pBdr>
          <w:bottom w:val="single" w:sz="6" w:space="1" w:color="1F3A5F"/>
        </w:pBdr>
      </w:pPr>
      <w:r>
        <w:rPr>
          <w:b/>
          <w:color w:val="1F3A5F"/>
          <w:sz w:val="32"/>
        </w:rPr>
        <w:t>1. Executive Summary</w:t>
      </w:r>
    </w:p>
    <w:p>
      <w:pPr>
        <w:spacing w:before="0" w:after="80"/>
      </w:pPr>
      <w:r>
        <w:rPr>
          <w:b w:val="0"/>
          <w:i w:val="0"/>
          <w:sz w:val="21"/>
        </w:rPr>
        <w:t>This document specifies the requirements for a reusable, multi-mandate strategic buyer outreach platform for Velocity Capital. The platform automates the enrichment, sequenced email outreach, NDA execution, and pipeline tracking of strategic and financial buyers across sell-side M&amp;A processes. The advisor retains full control through Human-in-the-Loop (HITL) checkpoints at every email send and at all client-facing decisions.</w:t>
      </w:r>
    </w:p>
    <w:p>
      <w:pPr>
        <w:spacing w:before="0" w:after="80"/>
      </w:pPr>
      <w:r>
        <w:rPr>
          <w:b w:val="0"/>
          <w:i w:val="0"/>
          <w:sz w:val="21"/>
        </w:rPr>
        <w:t>This version (v2.0) supersedes v1.0 and incorporates all decisions from the inputs deep dive completed on 25 May 2026 — including the simplified mandate setup (deal strategy, buyer scope, and client sign-off are intentionally kept outside the platform), the up-to-6 contact model, the geographic-aware persona waterfall, and the three NDA execution paths.</w:t>
      </w:r>
    </w:p>
    <w:p>
      <w:pPr>
        <w:spacing w:before="240" w:after="120"/>
      </w:pPr>
      <w:r>
        <w:rPr>
          <w:b/>
          <w:color w:val="1F3A5F"/>
          <w:sz w:val="26"/>
        </w:rPr>
        <w:t>1.1 Goal</w:t>
      </w:r>
    </w:p>
    <w:p>
      <w:pPr>
        <w:spacing w:before="0" w:after="80"/>
      </w:pPr>
      <w:r>
        <w:rPr>
          <w:b w:val="0"/>
          <w:i w:val="0"/>
          <w:sz w:val="21"/>
        </w:rPr>
        <w:t>Deliver a Java + Embabel platform that ingests advisor-curated seed lists from comparables.ai, enriches buyer contacts through a vendor waterfall, runs templated four-touch email sequences with multi-recipient staggering, executes NDAs through DocuSign with two-party countersignature, and provides a unified multi-mandate dashboard.</w:t>
      </w:r>
    </w:p>
    <w:p>
      <w:pPr>
        <w:spacing w:before="240" w:after="120"/>
      </w:pPr>
      <w:r>
        <w:rPr>
          <w:b/>
          <w:color w:val="1F3A5F"/>
          <w:sz w:val="26"/>
        </w:rPr>
        <w:t>1.2 Volume Profile</w:t>
      </w:r>
    </w:p>
    <w:tbl>
      <w:tblPr>
        <w:tblStyle w:val="TableGrid"/>
        <w:tblW w:type="auto" w:w="0"/>
        <w:jc w:val="left"/>
        <w:tblLook w:firstColumn="1" w:firstRow="1" w:lastColumn="0" w:lastRow="0" w:noHBand="0" w:noVBand="1" w:val="04A0"/>
      </w:tblPr>
      <w:tblGrid>
        <w:gridCol w:w="4873"/>
        <w:gridCol w:w="4873"/>
      </w:tblGrid>
      <w:tr>
        <w:tc>
          <w:tcPr>
            <w:tcW w:type="dxa" w:w="3456"/>
            <w:shd w:val="clear" w:color="auto" w:fill="1F3A5F"/>
            <w:vAlign w:val="center"/>
          </w:tcPr>
          <w:p>
            <w:pPr>
              <w:spacing w:before="40" w:after="40"/>
            </w:pPr>
            <w:r/>
            <w:r>
              <w:rPr>
                <w:b/>
                <w:color w:val="FFFFFF"/>
                <w:sz w:val="20"/>
              </w:rPr>
              <w:t>Dimension</w:t>
            </w:r>
          </w:p>
        </w:tc>
        <w:tc>
          <w:tcPr>
            <w:tcW w:type="dxa" w:w="6192"/>
            <w:shd w:val="clear" w:color="auto" w:fill="1F3A5F"/>
            <w:vAlign w:val="center"/>
          </w:tcPr>
          <w:p>
            <w:pPr>
              <w:spacing w:before="40" w:after="40"/>
            </w:pPr>
            <w:r/>
            <w:r>
              <w:rPr>
                <w:b/>
                <w:color w:val="FFFFFF"/>
                <w:sz w:val="20"/>
              </w:rPr>
              <w:t>Volume</w:t>
            </w:r>
          </w:p>
        </w:tc>
      </w:tr>
      <w:tr>
        <w:tc>
          <w:tcPr>
            <w:tcW w:type="dxa" w:w="3456"/>
            <w:vAlign w:val="top"/>
          </w:tcPr>
          <w:p>
            <w:pPr>
              <w:spacing w:before="40" w:after="40"/>
            </w:pPr>
            <w:r/>
            <w:r>
              <w:rPr>
                <w:b/>
                <w:sz w:val="19"/>
              </w:rPr>
              <w:t>Mandates per year</w:t>
            </w:r>
          </w:p>
        </w:tc>
        <w:tc>
          <w:tcPr>
            <w:tcW w:type="dxa" w:w="6192"/>
            <w:vAlign w:val="top"/>
          </w:tcPr>
          <w:p>
            <w:pPr>
              <w:spacing w:before="40" w:after="40"/>
            </w:pPr>
            <w:r/>
            <w:r>
              <w:rPr>
                <w:sz w:val="19"/>
              </w:rPr>
              <w:t>10–20</w:t>
            </w:r>
          </w:p>
        </w:tc>
      </w:tr>
      <w:tr>
        <w:tc>
          <w:tcPr>
            <w:tcW w:type="dxa" w:w="3456"/>
            <w:vAlign w:val="top"/>
            <w:shd w:val="clear" w:color="auto" w:fill="EDF2F7"/>
          </w:tcPr>
          <w:p>
            <w:pPr>
              <w:spacing w:before="40" w:after="40"/>
            </w:pPr>
            <w:r/>
            <w:r>
              <w:rPr>
                <w:b/>
                <w:sz w:val="19"/>
              </w:rPr>
              <w:t>Buyers per mandate</w:t>
            </w:r>
          </w:p>
        </w:tc>
        <w:tc>
          <w:tcPr>
            <w:tcW w:type="dxa" w:w="6192"/>
            <w:vAlign w:val="top"/>
            <w:shd w:val="clear" w:color="auto" w:fill="EDF2F7"/>
          </w:tcPr>
          <w:p>
            <w:pPr>
              <w:spacing w:before="40" w:after="40"/>
            </w:pPr>
            <w:r/>
            <w:r>
              <w:rPr>
                <w:sz w:val="19"/>
              </w:rPr>
              <w:t>5–50</w:t>
            </w:r>
          </w:p>
        </w:tc>
      </w:tr>
      <w:tr>
        <w:tc>
          <w:tcPr>
            <w:tcW w:type="dxa" w:w="3456"/>
            <w:vAlign w:val="top"/>
          </w:tcPr>
          <w:p>
            <w:pPr>
              <w:spacing w:before="40" w:after="40"/>
            </w:pPr>
            <w:r/>
            <w:r>
              <w:rPr>
                <w:b/>
                <w:sz w:val="19"/>
              </w:rPr>
              <w:t>Contacts per buyer (max)</w:t>
            </w:r>
          </w:p>
        </w:tc>
        <w:tc>
          <w:tcPr>
            <w:tcW w:type="dxa" w:w="6192"/>
            <w:vAlign w:val="top"/>
          </w:tcPr>
          <w:p>
            <w:pPr>
              <w:spacing w:before="40" w:after="40"/>
            </w:pPr>
            <w:r/>
            <w:r>
              <w:rPr>
                <w:sz w:val="19"/>
              </w:rPr>
              <w:t>6 — up to 5 from comparables.ai + 1 agent-discovered</w:t>
            </w:r>
          </w:p>
        </w:tc>
      </w:tr>
      <w:tr>
        <w:tc>
          <w:tcPr>
            <w:tcW w:type="dxa" w:w="3456"/>
            <w:vAlign w:val="top"/>
            <w:shd w:val="clear" w:color="auto" w:fill="EDF2F7"/>
          </w:tcPr>
          <w:p>
            <w:pPr>
              <w:spacing w:before="40" w:after="40"/>
            </w:pPr>
            <w:r/>
            <w:r>
              <w:rPr>
                <w:b/>
                <w:sz w:val="19"/>
              </w:rPr>
              <w:t>Emails per contact</w:t>
            </w:r>
          </w:p>
        </w:tc>
        <w:tc>
          <w:tcPr>
            <w:tcW w:type="dxa" w:w="6192"/>
            <w:vAlign w:val="top"/>
            <w:shd w:val="clear" w:color="auto" w:fill="EDF2F7"/>
          </w:tcPr>
          <w:p>
            <w:pPr>
              <w:spacing w:before="40" w:after="40"/>
            </w:pPr>
            <w:r/>
            <w:r>
              <w:rPr>
                <w:sz w:val="19"/>
              </w:rPr>
              <w:t>Up to 4 (Day 0 / Day 3 / Day 7 / Day 14)</w:t>
            </w:r>
          </w:p>
        </w:tc>
      </w:tr>
      <w:tr>
        <w:tc>
          <w:tcPr>
            <w:tcW w:type="dxa" w:w="3456"/>
            <w:vAlign w:val="top"/>
          </w:tcPr>
          <w:p>
            <w:pPr>
              <w:spacing w:before="40" w:after="40"/>
            </w:pPr>
            <w:r/>
            <w:r>
              <w:rPr>
                <w:b/>
                <w:sz w:val="19"/>
              </w:rPr>
              <w:t>Max emails per mandate</w:t>
            </w:r>
          </w:p>
        </w:tc>
        <w:tc>
          <w:tcPr>
            <w:tcW w:type="dxa" w:w="6192"/>
            <w:vAlign w:val="top"/>
          </w:tcPr>
          <w:p>
            <w:pPr>
              <w:spacing w:before="40" w:after="40"/>
            </w:pPr>
            <w:r/>
            <w:r>
              <w:rPr>
                <w:sz w:val="19"/>
              </w:rPr>
              <w:t>~1,200 sends (50 × 6 × 4)</w:t>
            </w:r>
          </w:p>
        </w:tc>
      </w:tr>
      <w:tr>
        <w:tc>
          <w:tcPr>
            <w:tcW w:type="dxa" w:w="3456"/>
            <w:vAlign w:val="top"/>
            <w:shd w:val="clear" w:color="auto" w:fill="EDF2F7"/>
          </w:tcPr>
          <w:p>
            <w:pPr>
              <w:spacing w:before="40" w:after="40"/>
            </w:pPr>
            <w:r/>
            <w:r>
              <w:rPr>
                <w:b/>
                <w:sz w:val="19"/>
              </w:rPr>
              <w:t>Maximum sequence tail (no replies)</w:t>
            </w:r>
          </w:p>
        </w:tc>
        <w:tc>
          <w:tcPr>
            <w:tcW w:type="dxa" w:w="6192"/>
            <w:vAlign w:val="top"/>
            <w:shd w:val="clear" w:color="auto" w:fill="EDF2F7"/>
          </w:tcPr>
          <w:p>
            <w:pPr>
              <w:spacing w:before="40" w:after="40"/>
            </w:pPr>
            <w:r/>
            <w:r>
              <w:rPr>
                <w:sz w:val="19"/>
              </w:rPr>
              <w:t>~24 days per buyer</w:t>
            </w:r>
          </w:p>
        </w:tc>
      </w:tr>
    </w:tbl>
    <w:p>
      <w:pPr>
        <w:spacing w:after="40"/>
      </w:pPr>
    </w:p>
    <w:p>
      <w:pPr>
        <w:spacing w:before="240" w:after="120"/>
      </w:pPr>
      <w:r>
        <w:rPr>
          <w:b/>
          <w:color w:val="1F3A5F"/>
          <w:sz w:val="26"/>
        </w:rPr>
        <w:t>1.3 Success Metrics</w:t>
      </w:r>
    </w:p>
    <w:p>
      <w:pPr>
        <w:pStyle w:val="ListBullet"/>
        <w:spacing w:after="40"/>
      </w:pPr>
      <w:r>
        <w:rPr>
          <w:sz w:val="21"/>
        </w:rPr>
        <w:t>Email response rate per mandate.</w:t>
      </w:r>
    </w:p>
    <w:p>
      <w:pPr>
        <w:pStyle w:val="ListBullet"/>
        <w:spacing w:after="40"/>
      </w:pPr>
      <w:r>
        <w:rPr>
          <w:sz w:val="21"/>
        </w:rPr>
        <w:t>NDAs signed per mandate (buyer-signed and fully countersigned).</w:t>
      </w:r>
    </w:p>
    <w:p>
      <w:pPr>
        <w:pStyle w:val="ListBullet"/>
        <w:spacing w:after="40"/>
      </w:pPr>
      <w:r>
        <w:rPr>
          <w:sz w:val="21"/>
        </w:rPr>
        <w:t>Sequence completion rate — proportion of contacts reaching a terminal state.</w:t>
      </w:r>
    </w:p>
    <w:p>
      <w:pPr>
        <w:spacing w:before="240" w:after="120"/>
      </w:pPr>
      <w:r>
        <w:rPr>
          <w:b/>
          <w:color w:val="1F3A5F"/>
          <w:sz w:val="26"/>
        </w:rPr>
        <w:t>1.4 Pain Points Addressed</w:t>
      </w:r>
    </w:p>
    <w:tbl>
      <w:tblPr>
        <w:tblStyle w:val="TableGrid"/>
        <w:tblW w:type="auto" w:w="0"/>
        <w:jc w:val="left"/>
        <w:tblLook w:firstColumn="1" w:firstRow="1" w:lastColumn="0" w:lastRow="0" w:noHBand="0" w:noVBand="1" w:val="04A0"/>
      </w:tblPr>
      <w:tblGrid>
        <w:gridCol w:w="4873"/>
        <w:gridCol w:w="4873"/>
      </w:tblGrid>
      <w:tr>
        <w:tc>
          <w:tcPr>
            <w:tcW w:type="dxa" w:w="3744"/>
            <w:shd w:val="clear" w:color="auto" w:fill="1F3A5F"/>
            <w:vAlign w:val="center"/>
          </w:tcPr>
          <w:p>
            <w:pPr>
              <w:spacing w:before="40" w:after="40"/>
            </w:pPr>
            <w:r/>
            <w:r>
              <w:rPr>
                <w:b/>
                <w:color w:val="FFFFFF"/>
                <w:sz w:val="20"/>
              </w:rPr>
              <w:t>Today's pain point</w:t>
            </w:r>
          </w:p>
        </w:tc>
        <w:tc>
          <w:tcPr>
            <w:tcW w:type="dxa" w:w="6048"/>
            <w:shd w:val="clear" w:color="auto" w:fill="1F3A5F"/>
            <w:vAlign w:val="center"/>
          </w:tcPr>
          <w:p>
            <w:pPr>
              <w:spacing w:before="40" w:after="40"/>
            </w:pPr>
            <w:r/>
            <w:r>
              <w:rPr>
                <w:b/>
                <w:color w:val="FFFFFF"/>
                <w:sz w:val="20"/>
              </w:rPr>
              <w:t>Platform resolution</w:t>
            </w:r>
          </w:p>
        </w:tc>
      </w:tr>
      <w:tr>
        <w:tc>
          <w:tcPr>
            <w:tcW w:type="dxa" w:w="3744"/>
            <w:vAlign w:val="top"/>
          </w:tcPr>
          <w:p>
            <w:pPr>
              <w:spacing w:before="40" w:after="40"/>
            </w:pPr>
            <w:r/>
            <w:r>
              <w:rPr>
                <w:b/>
                <w:sz w:val="19"/>
              </w:rPr>
              <w:t>Time loss on contact identification and copy-paste</w:t>
            </w:r>
          </w:p>
        </w:tc>
        <w:tc>
          <w:tcPr>
            <w:tcW w:type="dxa" w:w="6048"/>
            <w:vAlign w:val="top"/>
          </w:tcPr>
          <w:p>
            <w:pPr>
              <w:spacing w:before="40" w:after="40"/>
            </w:pPr>
            <w:r/>
            <w:r>
              <w:rPr>
                <w:sz w:val="19"/>
              </w:rPr>
              <w:t>Automated enrichment waterfall + LinkedIn discovery. Estimated 70–80% time recovery per mandate.</w:t>
            </w:r>
          </w:p>
        </w:tc>
      </w:tr>
      <w:tr>
        <w:tc>
          <w:tcPr>
            <w:tcW w:type="dxa" w:w="3744"/>
            <w:vAlign w:val="top"/>
            <w:shd w:val="clear" w:color="auto" w:fill="EDF2F7"/>
          </w:tcPr>
          <w:p>
            <w:pPr>
              <w:spacing w:before="40" w:after="40"/>
            </w:pPr>
            <w:r/>
            <w:r>
              <w:rPr>
                <w:b/>
                <w:sz w:val="19"/>
              </w:rPr>
              <w:t>Forgotten follow-ups (replies buried in inbox)</w:t>
            </w:r>
          </w:p>
        </w:tc>
        <w:tc>
          <w:tcPr>
            <w:tcW w:type="dxa" w:w="6048"/>
            <w:vAlign w:val="top"/>
            <w:shd w:val="clear" w:color="auto" w:fill="EDF2F7"/>
          </w:tcPr>
          <w:p>
            <w:pPr>
              <w:spacing w:before="40" w:after="40"/>
            </w:pPr>
            <w:r/>
            <w:r>
              <w:rPr>
                <w:sz w:val="19"/>
              </w:rPr>
              <w:t>Auto reply detection + sequence pause + dashboard review queue.</w:t>
            </w:r>
          </w:p>
        </w:tc>
      </w:tr>
      <w:tr>
        <w:tc>
          <w:tcPr>
            <w:tcW w:type="dxa" w:w="3744"/>
            <w:vAlign w:val="top"/>
          </w:tcPr>
          <w:p>
            <w:pPr>
              <w:spacing w:before="40" w:after="40"/>
            </w:pPr>
            <w:r/>
            <w:r>
              <w:rPr>
                <w:b/>
                <w:sz w:val="19"/>
              </w:rPr>
              <w:t>Forgotten NDAs (1–2 day lag from yes to send)</w:t>
            </w:r>
          </w:p>
        </w:tc>
        <w:tc>
          <w:tcPr>
            <w:tcW w:type="dxa" w:w="6048"/>
            <w:vAlign w:val="top"/>
          </w:tcPr>
          <w:p>
            <w:pPr>
              <w:spacing w:before="40" w:after="40"/>
            </w:pPr>
            <w:r/>
            <w:r>
              <w:rPr>
                <w:sz w:val="19"/>
              </w:rPr>
              <w:t>One-click NDA send from review queue + stale-NDA alerts + DocuSign reminders.</w:t>
            </w:r>
          </w:p>
        </w:tc>
      </w:tr>
      <w:tr>
        <w:tc>
          <w:tcPr>
            <w:tcW w:type="dxa" w:w="3744"/>
            <w:vAlign w:val="top"/>
            <w:shd w:val="clear" w:color="auto" w:fill="EDF2F7"/>
          </w:tcPr>
          <w:p>
            <w:pPr>
              <w:spacing w:before="40" w:after="40"/>
            </w:pPr>
            <w:r/>
            <w:r>
              <w:rPr>
                <w:b/>
                <w:sz w:val="19"/>
              </w:rPr>
              <w:t>No unified multi-mandate tool</w:t>
            </w:r>
          </w:p>
        </w:tc>
        <w:tc>
          <w:tcPr>
            <w:tcW w:type="dxa" w:w="6048"/>
            <w:vAlign w:val="top"/>
            <w:shd w:val="clear" w:color="auto" w:fill="EDF2F7"/>
          </w:tcPr>
          <w:p>
            <w:pPr>
              <w:spacing w:before="40" w:after="40"/>
            </w:pPr>
            <w:r/>
            <w:r>
              <w:rPr>
                <w:sz w:val="19"/>
              </w:rPr>
              <w:t>Single platform for enrichment, sequencing, NDA execution, and pipeline tracking.</w:t>
            </w:r>
          </w:p>
        </w:tc>
      </w:tr>
    </w:tbl>
    <w:p>
      <w:pPr>
        <w:spacing w:after="40"/>
      </w:pPr>
    </w:p>
    <w:p>
      <w:pPr>
        <w:spacing w:before="240" w:after="120"/>
      </w:pPr>
      <w:r>
        <w:rPr>
          <w:b/>
          <w:color w:val="1F3A5F"/>
          <w:sz w:val="26"/>
        </w:rPr>
        <w:t>1.5 Out of Scope</w:t>
      </w:r>
    </w:p>
    <w:p>
      <w:pPr>
        <w:pStyle w:val="ListBullet"/>
        <w:spacing w:after="40"/>
      </w:pPr>
      <w:r>
        <w:rPr>
          <w:sz w:val="21"/>
        </w:rPr>
        <w:t>Buyer identification and shortlisting — Rogo and comparables.ai remain manual upstream tools.</w:t>
      </w:r>
    </w:p>
    <w:p>
      <w:pPr>
        <w:pStyle w:val="ListBullet"/>
        <w:spacing w:after="40"/>
      </w:pPr>
      <w:r>
        <w:rPr>
          <w:sz w:val="21"/>
        </w:rPr>
        <w:t>Target company details, deal strategy, and buyer scope criteria — kept outside the platform.</w:t>
      </w:r>
    </w:p>
    <w:p>
      <w:pPr>
        <w:pStyle w:val="ListBullet"/>
        <w:spacing w:after="40"/>
      </w:pPr>
      <w:r>
        <w:rPr>
          <w:sz w:val="21"/>
        </w:rPr>
        <w:t>Client sign-off on buyer list and exclusion list — done outside the platform.</w:t>
      </w:r>
    </w:p>
    <w:p>
      <w:pPr>
        <w:pStyle w:val="ListBullet"/>
        <w:spacing w:after="40"/>
      </w:pPr>
      <w:r>
        <w:rPr>
          <w:sz w:val="21"/>
        </w:rPr>
        <w:t>LinkedIn scraping — manual Sales Navigator + RocketReach profile workflow only.</w:t>
      </w:r>
    </w:p>
    <w:p>
      <w:pPr>
        <w:pStyle w:val="ListBullet"/>
        <w:spacing w:after="40"/>
      </w:pPr>
      <w:r>
        <w:rPr>
          <w:sz w:val="21"/>
        </w:rPr>
        <w:t>Per-buyer customisation of Flyer or NDA documents — generic only.</w:t>
      </w:r>
    </w:p>
    <w:p>
      <w:pPr>
        <w:pStyle w:val="ListBullet"/>
        <w:spacing w:after="40"/>
      </w:pPr>
      <w:r>
        <w:rPr>
          <w:sz w:val="21"/>
        </w:rPr>
        <w:t>LLM-generated personalisation of outbound emails — templates with merge fields only.</w:t>
      </w:r>
    </w:p>
    <w:p>
      <w:pPr>
        <w:pStyle w:val="ListBullet"/>
        <w:spacing w:after="40"/>
      </w:pPr>
      <w:r>
        <w:rPr>
          <w:sz w:val="21"/>
        </w:rPr>
        <w:t>Auto-reply to inbound buyer emails — agent triages and recommends; advisor replies.</w:t>
      </w:r>
    </w:p>
    <w:p>
      <w:pPr>
        <w:pStyle w:val="ListBullet"/>
        <w:spacing w:after="40"/>
      </w:pPr>
      <w:r>
        <w:rPr>
          <w:sz w:val="21"/>
        </w:rPr>
        <w:t>Mandate handoff beyond meeting-confirmed terminal state.</w:t>
      </w:r>
    </w:p>
    <w:p>
      <w:pPr>
        <w:pStyle w:val="ListBullet"/>
        <w:spacing w:after="40"/>
      </w:pPr>
      <w:r>
        <w:rPr>
          <w:sz w:val="21"/>
        </w:rPr>
        <w:t>Client-facing portal access.</w:t>
      </w:r>
    </w:p>
    <w:p>
      <w:r>
        <w:br w:type="page"/>
      </w:r>
    </w:p>
    <w:p>
      <w:pPr>
        <w:spacing w:before="240" w:after="120"/>
        <w:pBdr>
          <w:bottom w:val="single" w:sz="6" w:space="1" w:color="1F3A5F"/>
        </w:pBdr>
      </w:pPr>
      <w:r>
        <w:rPr>
          <w:b/>
          <w:color w:val="1F3A5F"/>
          <w:sz w:val="32"/>
        </w:rPr>
        <w:t>2. System Architecture</w:t>
      </w:r>
    </w:p>
    <w:p>
      <w:pPr>
        <w:spacing w:before="0" w:after="80"/>
      </w:pPr>
      <w:r>
        <w:rPr>
          <w:b w:val="0"/>
          <w:i w:val="0"/>
          <w:sz w:val="21"/>
        </w:rPr>
        <w:t>The platform is a Java application built on the Embabel agent framework with Spring Boot service layer and PostgreSQL state store. The agent orchestrates multi-step workflows but defers to the advisor at every outbound send and at specified enrichment gates. LLM use is limited to deterministic tasks — reply classification and NDA diff detection. Outbound email content is fully template-driven with no generative content.</w:t>
      </w:r>
    </w:p>
    <w:p>
      <w:pPr>
        <w:spacing w:before="120" w:after="40"/>
        <w:jc w:val="center"/>
      </w:pPr>
      <w:r>
        <w:drawing>
          <wp:inline xmlns:a="http://schemas.openxmlformats.org/drawingml/2006/main" xmlns:pic="http://schemas.openxmlformats.org/drawingml/2006/picture">
            <wp:extent cx="6035040" cy="4099272"/>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9"/>
                    <a:stretch>
                      <a:fillRect/>
                    </a:stretch>
                  </pic:blipFill>
                  <pic:spPr>
                    <a:xfrm>
                      <a:off x="0" y="0"/>
                      <a:ext cx="6035040" cy="4099272"/>
                    </a:xfrm>
                    <a:prstGeom prst="rect"/>
                  </pic:spPr>
                </pic:pic>
              </a:graphicData>
            </a:graphic>
          </wp:inline>
        </w:drawing>
      </w:r>
    </w:p>
    <w:p>
      <w:pPr>
        <w:spacing w:after="160"/>
        <w:jc w:val="center"/>
      </w:pPr>
      <w:r>
        <w:rPr>
          <w:i/>
          <w:color w:val="4A5568"/>
          <w:sz w:val="18"/>
        </w:rPr>
        <w:t>Figure 1. High-level system architecture.</w:t>
      </w:r>
    </w:p>
    <w:p>
      <w:pPr>
        <w:spacing w:before="240" w:after="120"/>
      </w:pPr>
      <w:r>
        <w:rPr>
          <w:b/>
          <w:color w:val="1F3A5F"/>
          <w:sz w:val="26"/>
        </w:rPr>
        <w:t>2.1 Technology Stack</w:t>
      </w:r>
    </w:p>
    <w:tbl>
      <w:tblPr>
        <w:tblStyle w:val="TableGrid"/>
        <w:tblW w:type="auto" w:w="0"/>
        <w:jc w:val="left"/>
        <w:tblLook w:firstColumn="1" w:firstRow="1" w:lastColumn="0" w:lastRow="0" w:noHBand="0" w:noVBand="1" w:val="04A0"/>
      </w:tblPr>
      <w:tblGrid>
        <w:gridCol w:w="3249"/>
        <w:gridCol w:w="3249"/>
        <w:gridCol w:w="3249"/>
      </w:tblGrid>
      <w:tr>
        <w:tc>
          <w:tcPr>
            <w:tcW w:type="dxa" w:w="2448"/>
            <w:shd w:val="clear" w:color="auto" w:fill="1F3A5F"/>
            <w:vAlign w:val="center"/>
          </w:tcPr>
          <w:p>
            <w:pPr>
              <w:spacing w:before="40" w:after="40"/>
            </w:pPr>
            <w:r/>
            <w:r>
              <w:rPr>
                <w:b/>
                <w:color w:val="FFFFFF"/>
                <w:sz w:val="20"/>
              </w:rPr>
              <w:t>Layer</w:t>
            </w:r>
          </w:p>
        </w:tc>
        <w:tc>
          <w:tcPr>
            <w:tcW w:type="dxa" w:w="3168"/>
            <w:shd w:val="clear" w:color="auto" w:fill="1F3A5F"/>
            <w:vAlign w:val="center"/>
          </w:tcPr>
          <w:p>
            <w:pPr>
              <w:spacing w:before="40" w:after="40"/>
            </w:pPr>
            <w:r/>
            <w:r>
              <w:rPr>
                <w:b/>
                <w:color w:val="FFFFFF"/>
                <w:sz w:val="20"/>
              </w:rPr>
              <w:t>Technology</w:t>
            </w:r>
          </w:p>
        </w:tc>
        <w:tc>
          <w:tcPr>
            <w:tcW w:type="dxa" w:w="4032"/>
            <w:shd w:val="clear" w:color="auto" w:fill="1F3A5F"/>
            <w:vAlign w:val="center"/>
          </w:tcPr>
          <w:p>
            <w:pPr>
              <w:spacing w:before="40" w:after="40"/>
            </w:pPr>
            <w:r/>
            <w:r>
              <w:rPr>
                <w:b/>
                <w:color w:val="FFFFFF"/>
                <w:sz w:val="20"/>
              </w:rPr>
              <w:t>Notes</w:t>
            </w:r>
          </w:p>
        </w:tc>
      </w:tr>
      <w:tr>
        <w:tc>
          <w:tcPr>
            <w:tcW w:type="dxa" w:w="2448"/>
            <w:vAlign w:val="top"/>
          </w:tcPr>
          <w:p>
            <w:pPr>
              <w:spacing w:before="40" w:after="40"/>
            </w:pPr>
            <w:r/>
            <w:r>
              <w:rPr>
                <w:b/>
                <w:sz w:val="19"/>
              </w:rPr>
              <w:t>Agent framework</w:t>
            </w:r>
          </w:p>
        </w:tc>
        <w:tc>
          <w:tcPr>
            <w:tcW w:type="dxa" w:w="3168"/>
            <w:vAlign w:val="top"/>
          </w:tcPr>
          <w:p>
            <w:pPr>
              <w:spacing w:before="40" w:after="40"/>
            </w:pPr>
            <w:r/>
            <w:r>
              <w:rPr>
                <w:sz w:val="19"/>
              </w:rPr>
              <w:t>Embabel (greenfield)</w:t>
            </w:r>
          </w:p>
        </w:tc>
        <w:tc>
          <w:tcPr>
            <w:tcW w:type="dxa" w:w="4032"/>
            <w:vAlign w:val="top"/>
          </w:tcPr>
          <w:p>
            <w:pPr>
              <w:spacing w:before="40" w:after="40"/>
            </w:pPr>
            <w:r/>
            <w:r>
              <w:rPr>
                <w:sz w:val="19"/>
              </w:rPr>
              <w:t>Hard requirement; no version constraint</w:t>
            </w:r>
          </w:p>
        </w:tc>
      </w:tr>
      <w:tr>
        <w:tc>
          <w:tcPr>
            <w:tcW w:type="dxa" w:w="2448"/>
            <w:vAlign w:val="top"/>
            <w:shd w:val="clear" w:color="auto" w:fill="EDF2F7"/>
          </w:tcPr>
          <w:p>
            <w:pPr>
              <w:spacing w:before="40" w:after="40"/>
            </w:pPr>
            <w:r/>
            <w:r>
              <w:rPr>
                <w:b/>
                <w:sz w:val="19"/>
              </w:rPr>
              <w:t>Language / runtime</w:t>
            </w:r>
          </w:p>
        </w:tc>
        <w:tc>
          <w:tcPr>
            <w:tcW w:type="dxa" w:w="3168"/>
            <w:vAlign w:val="top"/>
            <w:shd w:val="clear" w:color="auto" w:fill="EDF2F7"/>
          </w:tcPr>
          <w:p>
            <w:pPr>
              <w:spacing w:before="40" w:after="40"/>
            </w:pPr>
            <w:r/>
            <w:r>
              <w:rPr>
                <w:sz w:val="19"/>
              </w:rPr>
              <w:t>Java 21</w:t>
            </w:r>
          </w:p>
        </w:tc>
        <w:tc>
          <w:tcPr>
            <w:tcW w:type="dxa" w:w="4032"/>
            <w:vAlign w:val="top"/>
            <w:shd w:val="clear" w:color="auto" w:fill="EDF2F7"/>
          </w:tcPr>
          <w:p>
            <w:pPr>
              <w:spacing w:before="40" w:after="40"/>
            </w:pPr>
            <w:r/>
            <w:r>
              <w:rPr>
                <w:sz w:val="19"/>
              </w:rPr>
              <w:t>LTS</w:t>
            </w:r>
          </w:p>
        </w:tc>
      </w:tr>
      <w:tr>
        <w:tc>
          <w:tcPr>
            <w:tcW w:type="dxa" w:w="2448"/>
            <w:vAlign w:val="top"/>
          </w:tcPr>
          <w:p>
            <w:pPr>
              <w:spacing w:before="40" w:after="40"/>
            </w:pPr>
            <w:r/>
            <w:r>
              <w:rPr>
                <w:b/>
                <w:sz w:val="19"/>
              </w:rPr>
              <w:t>Service framework</w:t>
            </w:r>
          </w:p>
        </w:tc>
        <w:tc>
          <w:tcPr>
            <w:tcW w:type="dxa" w:w="3168"/>
            <w:vAlign w:val="top"/>
          </w:tcPr>
          <w:p>
            <w:pPr>
              <w:spacing w:before="40" w:after="40"/>
            </w:pPr>
            <w:r/>
            <w:r>
              <w:rPr>
                <w:sz w:val="19"/>
              </w:rPr>
              <w:t>Spring Boot 3.x</w:t>
            </w:r>
          </w:p>
        </w:tc>
        <w:tc>
          <w:tcPr>
            <w:tcW w:type="dxa" w:w="4032"/>
            <w:vAlign w:val="top"/>
          </w:tcPr>
          <w:p>
            <w:pPr>
              <w:spacing w:before="40" w:after="40"/>
            </w:pPr>
            <w:r/>
            <w:r>
              <w:rPr>
                <w:sz w:val="19"/>
              </w:rPr>
              <w:t>REST APIs, scheduling</w:t>
            </w:r>
          </w:p>
        </w:tc>
      </w:tr>
      <w:tr>
        <w:tc>
          <w:tcPr>
            <w:tcW w:type="dxa" w:w="2448"/>
            <w:vAlign w:val="top"/>
            <w:shd w:val="clear" w:color="auto" w:fill="EDF2F7"/>
          </w:tcPr>
          <w:p>
            <w:pPr>
              <w:spacing w:before="40" w:after="40"/>
            </w:pPr>
            <w:r/>
            <w:r>
              <w:rPr>
                <w:b/>
                <w:sz w:val="19"/>
              </w:rPr>
              <w:t>LLM (primary)</w:t>
            </w:r>
          </w:p>
        </w:tc>
        <w:tc>
          <w:tcPr>
            <w:tcW w:type="dxa" w:w="3168"/>
            <w:vAlign w:val="top"/>
            <w:shd w:val="clear" w:color="auto" w:fill="EDF2F7"/>
          </w:tcPr>
          <w:p>
            <w:pPr>
              <w:spacing w:before="40" w:after="40"/>
            </w:pPr>
            <w:r/>
            <w:r>
              <w:rPr>
                <w:sz w:val="19"/>
              </w:rPr>
              <w:t>Claude Sonnet (latest)</w:t>
            </w:r>
          </w:p>
        </w:tc>
        <w:tc>
          <w:tcPr>
            <w:tcW w:type="dxa" w:w="4032"/>
            <w:vAlign w:val="top"/>
            <w:shd w:val="clear" w:color="auto" w:fill="EDF2F7"/>
          </w:tcPr>
          <w:p>
            <w:pPr>
              <w:spacing w:before="40" w:after="40"/>
            </w:pPr>
            <w:r/>
            <w:r>
              <w:rPr>
                <w:sz w:val="19"/>
              </w:rPr>
              <w:t>Reply classification + NDA diff</w:t>
            </w:r>
          </w:p>
        </w:tc>
      </w:tr>
      <w:tr>
        <w:tc>
          <w:tcPr>
            <w:tcW w:type="dxa" w:w="2448"/>
            <w:vAlign w:val="top"/>
          </w:tcPr>
          <w:p>
            <w:pPr>
              <w:spacing w:before="40" w:after="40"/>
            </w:pPr>
            <w:r/>
            <w:r>
              <w:rPr>
                <w:b/>
                <w:sz w:val="19"/>
              </w:rPr>
              <w:t>LLM (fallback)</w:t>
            </w:r>
          </w:p>
        </w:tc>
        <w:tc>
          <w:tcPr>
            <w:tcW w:type="dxa" w:w="3168"/>
            <w:vAlign w:val="top"/>
          </w:tcPr>
          <w:p>
            <w:pPr>
              <w:spacing w:before="40" w:after="40"/>
            </w:pPr>
            <w:r/>
            <w:r>
              <w:rPr>
                <w:sz w:val="19"/>
              </w:rPr>
              <w:t>OpenAI GPT-class</w:t>
            </w:r>
          </w:p>
        </w:tc>
        <w:tc>
          <w:tcPr>
            <w:tcW w:type="dxa" w:w="4032"/>
            <w:vAlign w:val="top"/>
          </w:tcPr>
          <w:p>
            <w:pPr>
              <w:spacing w:before="40" w:after="40"/>
            </w:pPr>
            <w:r/>
            <w:r>
              <w:rPr>
                <w:sz w:val="19"/>
              </w:rPr>
              <w:t>Resilience on outage</w:t>
            </w:r>
          </w:p>
        </w:tc>
      </w:tr>
      <w:tr>
        <w:tc>
          <w:tcPr>
            <w:tcW w:type="dxa" w:w="2448"/>
            <w:vAlign w:val="top"/>
            <w:shd w:val="clear" w:color="auto" w:fill="EDF2F7"/>
          </w:tcPr>
          <w:p>
            <w:pPr>
              <w:spacing w:before="40" w:after="40"/>
            </w:pPr>
            <w:r/>
            <w:r>
              <w:rPr>
                <w:b/>
                <w:sz w:val="19"/>
              </w:rPr>
              <w:t>Database</w:t>
            </w:r>
          </w:p>
        </w:tc>
        <w:tc>
          <w:tcPr>
            <w:tcW w:type="dxa" w:w="3168"/>
            <w:vAlign w:val="top"/>
            <w:shd w:val="clear" w:color="auto" w:fill="EDF2F7"/>
          </w:tcPr>
          <w:p>
            <w:pPr>
              <w:spacing w:before="40" w:after="40"/>
            </w:pPr>
            <w:r/>
            <w:r>
              <w:rPr>
                <w:sz w:val="19"/>
              </w:rPr>
              <w:t>PostgreSQL 16</w:t>
            </w:r>
          </w:p>
        </w:tc>
        <w:tc>
          <w:tcPr>
            <w:tcW w:type="dxa" w:w="4032"/>
            <w:vAlign w:val="top"/>
            <w:shd w:val="clear" w:color="auto" w:fill="EDF2F7"/>
          </w:tcPr>
          <w:p>
            <w:pPr>
              <w:spacing w:before="40" w:after="40"/>
            </w:pPr>
            <w:r/>
            <w:r>
              <w:rPr>
                <w:sz w:val="19"/>
              </w:rPr>
              <w:t>State + JSONB audit payloads</w:t>
            </w:r>
          </w:p>
        </w:tc>
      </w:tr>
      <w:tr>
        <w:tc>
          <w:tcPr>
            <w:tcW w:type="dxa" w:w="2448"/>
            <w:vAlign w:val="top"/>
          </w:tcPr>
          <w:p>
            <w:pPr>
              <w:spacing w:before="40" w:after="40"/>
            </w:pPr>
            <w:r/>
            <w:r>
              <w:rPr>
                <w:b/>
                <w:sz w:val="19"/>
              </w:rPr>
              <w:t>Hosting</w:t>
            </w:r>
          </w:p>
        </w:tc>
        <w:tc>
          <w:tcPr>
            <w:tcW w:type="dxa" w:w="3168"/>
            <w:vAlign w:val="top"/>
          </w:tcPr>
          <w:p>
            <w:pPr>
              <w:spacing w:before="40" w:after="40"/>
            </w:pPr>
            <w:r/>
            <w:r>
              <w:rPr>
                <w:sz w:val="19"/>
              </w:rPr>
              <w:t>Cloud-agnostic</w:t>
            </w:r>
          </w:p>
        </w:tc>
        <w:tc>
          <w:tcPr>
            <w:tcW w:type="dxa" w:w="4032"/>
            <w:vAlign w:val="top"/>
          </w:tcPr>
          <w:p>
            <w:pPr>
              <w:spacing w:before="40" w:after="40"/>
            </w:pPr>
            <w:r/>
            <w:r>
              <w:rPr>
                <w:sz w:val="19"/>
              </w:rPr>
              <w:t>No residency constraint; AWS ap-southeast-2 recommended</w:t>
            </w:r>
          </w:p>
        </w:tc>
      </w:tr>
      <w:tr>
        <w:tc>
          <w:tcPr>
            <w:tcW w:type="dxa" w:w="2448"/>
            <w:vAlign w:val="top"/>
            <w:shd w:val="clear" w:color="auto" w:fill="EDF2F7"/>
          </w:tcPr>
          <w:p>
            <w:pPr>
              <w:spacing w:before="40" w:after="40"/>
            </w:pPr>
            <w:r/>
            <w:r>
              <w:rPr>
                <w:b/>
                <w:sz w:val="19"/>
              </w:rPr>
              <w:t>Frontend</w:t>
            </w:r>
          </w:p>
        </w:tc>
        <w:tc>
          <w:tcPr>
            <w:tcW w:type="dxa" w:w="3168"/>
            <w:vAlign w:val="top"/>
            <w:shd w:val="clear" w:color="auto" w:fill="EDF2F7"/>
          </w:tcPr>
          <w:p>
            <w:pPr>
              <w:spacing w:before="40" w:after="40"/>
            </w:pPr>
            <w:r/>
            <w:r>
              <w:rPr>
                <w:sz w:val="19"/>
              </w:rPr>
              <w:t>React + TypeScript</w:t>
            </w:r>
          </w:p>
        </w:tc>
        <w:tc>
          <w:tcPr>
            <w:tcW w:type="dxa" w:w="4032"/>
            <w:vAlign w:val="top"/>
            <w:shd w:val="clear" w:color="auto" w:fill="EDF2F7"/>
          </w:tcPr>
          <w:p>
            <w:pPr>
              <w:spacing w:before="40" w:after="40"/>
            </w:pPr>
            <w:r/>
            <w:r>
              <w:rPr>
                <w:sz w:val="19"/>
              </w:rPr>
              <w:t>Single-page UI</w:t>
            </w:r>
          </w:p>
        </w:tc>
      </w:tr>
    </w:tbl>
    <w:p>
      <w:pPr>
        <w:spacing w:after="40"/>
      </w:pPr>
    </w:p>
    <w:p>
      <w:pPr>
        <w:spacing w:before="240" w:after="120"/>
      </w:pPr>
      <w:r>
        <w:rPr>
          <w:b/>
          <w:color w:val="1F3A5F"/>
          <w:sz w:val="26"/>
        </w:rPr>
        <w:t>2.2 External Integrations</w:t>
      </w:r>
    </w:p>
    <w:tbl>
      <w:tblPr>
        <w:tblStyle w:val="TableGrid"/>
        <w:tblW w:type="auto" w:w="0"/>
        <w:jc w:val="left"/>
        <w:tblLook w:firstColumn="1" w:firstRow="1" w:lastColumn="0" w:lastRow="0" w:noHBand="0" w:noVBand="1" w:val="04A0"/>
      </w:tblPr>
      <w:tblGrid>
        <w:gridCol w:w="3249"/>
        <w:gridCol w:w="3249"/>
        <w:gridCol w:w="3249"/>
      </w:tblGrid>
      <w:tr>
        <w:tc>
          <w:tcPr>
            <w:tcW w:type="dxa" w:w="2880"/>
            <w:shd w:val="clear" w:color="auto" w:fill="1F3A5F"/>
            <w:vAlign w:val="center"/>
          </w:tcPr>
          <w:p>
            <w:pPr>
              <w:spacing w:before="40" w:after="40"/>
            </w:pPr>
            <w:r/>
            <w:r>
              <w:rPr>
                <w:b/>
                <w:color w:val="FFFFFF"/>
                <w:sz w:val="20"/>
              </w:rPr>
              <w:t>Integration</w:t>
            </w:r>
          </w:p>
        </w:tc>
        <w:tc>
          <w:tcPr>
            <w:tcW w:type="dxa" w:w="4320"/>
            <w:shd w:val="clear" w:color="auto" w:fill="1F3A5F"/>
            <w:vAlign w:val="center"/>
          </w:tcPr>
          <w:p>
            <w:pPr>
              <w:spacing w:before="40" w:after="40"/>
            </w:pPr>
            <w:r/>
            <w:r>
              <w:rPr>
                <w:b/>
                <w:color w:val="FFFFFF"/>
                <w:sz w:val="20"/>
              </w:rPr>
              <w:t>Purpose</w:t>
            </w:r>
          </w:p>
        </w:tc>
        <w:tc>
          <w:tcPr>
            <w:tcW w:type="dxa" w:w="2592"/>
            <w:shd w:val="clear" w:color="auto" w:fill="1F3A5F"/>
            <w:vAlign w:val="center"/>
          </w:tcPr>
          <w:p>
            <w:pPr>
              <w:spacing w:before="40" w:after="40"/>
            </w:pPr>
            <w:r/>
            <w:r>
              <w:rPr>
                <w:b/>
                <w:color w:val="FFFFFF"/>
                <w:sz w:val="20"/>
              </w:rPr>
              <w:t>Auth model</w:t>
            </w:r>
          </w:p>
        </w:tc>
      </w:tr>
      <w:tr>
        <w:tc>
          <w:tcPr>
            <w:tcW w:type="dxa" w:w="2880"/>
            <w:vAlign w:val="top"/>
          </w:tcPr>
          <w:p>
            <w:pPr>
              <w:spacing w:before="40" w:after="40"/>
            </w:pPr>
            <w:r/>
            <w:r>
              <w:rPr>
                <w:b/>
                <w:sz w:val="19"/>
              </w:rPr>
              <w:t>RocketReach API</w:t>
            </w:r>
          </w:p>
        </w:tc>
        <w:tc>
          <w:tcPr>
            <w:tcW w:type="dxa" w:w="4320"/>
            <w:vAlign w:val="top"/>
          </w:tcPr>
          <w:p>
            <w:pPr>
              <w:spacing w:before="40" w:after="40"/>
            </w:pPr>
            <w:r/>
            <w:r>
              <w:rPr>
                <w:sz w:val="19"/>
              </w:rPr>
              <w:t>Enrichment 1 (auto)</w:t>
            </w:r>
          </w:p>
        </w:tc>
        <w:tc>
          <w:tcPr>
            <w:tcW w:type="dxa" w:w="2592"/>
            <w:vAlign w:val="top"/>
          </w:tcPr>
          <w:p>
            <w:pPr>
              <w:spacing w:before="40" w:after="40"/>
            </w:pPr>
            <w:r/>
            <w:r>
              <w:rPr>
                <w:sz w:val="19"/>
              </w:rPr>
              <w:t>API key</w:t>
            </w:r>
          </w:p>
        </w:tc>
      </w:tr>
      <w:tr>
        <w:tc>
          <w:tcPr>
            <w:tcW w:type="dxa" w:w="2880"/>
            <w:vAlign w:val="top"/>
            <w:shd w:val="clear" w:color="auto" w:fill="EDF2F7"/>
          </w:tcPr>
          <w:p>
            <w:pPr>
              <w:spacing w:before="40" w:after="40"/>
            </w:pPr>
            <w:r/>
            <w:r>
              <w:rPr>
                <w:b/>
                <w:sz w:val="19"/>
              </w:rPr>
              <w:t>Apollo API</w:t>
            </w:r>
          </w:p>
        </w:tc>
        <w:tc>
          <w:tcPr>
            <w:tcW w:type="dxa" w:w="4320"/>
            <w:vAlign w:val="top"/>
            <w:shd w:val="clear" w:color="auto" w:fill="EDF2F7"/>
          </w:tcPr>
          <w:p>
            <w:pPr>
              <w:spacing w:before="40" w:after="40"/>
            </w:pPr>
            <w:r/>
            <w:r>
              <w:rPr>
                <w:sz w:val="19"/>
              </w:rPr>
              <w:t>Enrichment 2 + sending + verifier 1</w:t>
            </w:r>
          </w:p>
        </w:tc>
        <w:tc>
          <w:tcPr>
            <w:tcW w:type="dxa" w:w="2592"/>
            <w:vAlign w:val="top"/>
            <w:shd w:val="clear" w:color="auto" w:fill="EDF2F7"/>
          </w:tcPr>
          <w:p>
            <w:pPr>
              <w:spacing w:before="40" w:after="40"/>
            </w:pPr>
            <w:r/>
            <w:r>
              <w:rPr>
                <w:sz w:val="19"/>
              </w:rPr>
              <w:t>API key + domain auth</w:t>
            </w:r>
          </w:p>
        </w:tc>
      </w:tr>
      <w:tr>
        <w:tc>
          <w:tcPr>
            <w:tcW w:type="dxa" w:w="2880"/>
            <w:vAlign w:val="top"/>
          </w:tcPr>
          <w:p>
            <w:pPr>
              <w:spacing w:before="40" w:after="40"/>
            </w:pPr>
            <w:r/>
            <w:r>
              <w:rPr>
                <w:b/>
                <w:sz w:val="19"/>
              </w:rPr>
              <w:t>Hunter.io API</w:t>
            </w:r>
          </w:p>
        </w:tc>
        <w:tc>
          <w:tcPr>
            <w:tcW w:type="dxa" w:w="4320"/>
            <w:vAlign w:val="top"/>
          </w:tcPr>
          <w:p>
            <w:pPr>
              <w:spacing w:before="40" w:after="40"/>
            </w:pPr>
            <w:r/>
            <w:r>
              <w:rPr>
                <w:sz w:val="19"/>
              </w:rPr>
              <w:t>Enrichment 3 + verifier 3</w:t>
            </w:r>
          </w:p>
        </w:tc>
        <w:tc>
          <w:tcPr>
            <w:tcW w:type="dxa" w:w="2592"/>
            <w:vAlign w:val="top"/>
          </w:tcPr>
          <w:p>
            <w:pPr>
              <w:spacing w:before="40" w:after="40"/>
            </w:pPr>
            <w:r/>
            <w:r>
              <w:rPr>
                <w:sz w:val="19"/>
              </w:rPr>
              <w:t>API key</w:t>
            </w:r>
          </w:p>
        </w:tc>
      </w:tr>
      <w:tr>
        <w:tc>
          <w:tcPr>
            <w:tcW w:type="dxa" w:w="2880"/>
            <w:vAlign w:val="top"/>
            <w:shd w:val="clear" w:color="auto" w:fill="EDF2F7"/>
          </w:tcPr>
          <w:p>
            <w:pPr>
              <w:spacing w:before="40" w:after="40"/>
            </w:pPr>
            <w:r/>
            <w:r>
              <w:rPr>
                <w:b/>
                <w:sz w:val="19"/>
              </w:rPr>
              <w:t>Clay.com</w:t>
            </w:r>
          </w:p>
        </w:tc>
        <w:tc>
          <w:tcPr>
            <w:tcW w:type="dxa" w:w="4320"/>
            <w:vAlign w:val="top"/>
            <w:shd w:val="clear" w:color="auto" w:fill="EDF2F7"/>
          </w:tcPr>
          <w:p>
            <w:pPr>
              <w:spacing w:before="40" w:after="40"/>
            </w:pPr>
            <w:r/>
            <w:r>
              <w:rPr>
                <w:sz w:val="19"/>
              </w:rPr>
              <w:t>Optional enrichment behind HITL gate</w:t>
            </w:r>
          </w:p>
        </w:tc>
        <w:tc>
          <w:tcPr>
            <w:tcW w:type="dxa" w:w="2592"/>
            <w:vAlign w:val="top"/>
            <w:shd w:val="clear" w:color="auto" w:fill="EDF2F7"/>
          </w:tcPr>
          <w:p>
            <w:pPr>
              <w:spacing w:before="40" w:after="40"/>
            </w:pPr>
            <w:r/>
            <w:r>
              <w:rPr>
                <w:sz w:val="19"/>
              </w:rPr>
              <w:t>API key / webhook</w:t>
            </w:r>
          </w:p>
        </w:tc>
      </w:tr>
      <w:tr>
        <w:tc>
          <w:tcPr>
            <w:tcW w:type="dxa" w:w="2880"/>
            <w:vAlign w:val="top"/>
          </w:tcPr>
          <w:p>
            <w:pPr>
              <w:spacing w:before="40" w:after="40"/>
            </w:pPr>
            <w:r/>
            <w:r>
              <w:rPr>
                <w:b/>
                <w:sz w:val="19"/>
              </w:rPr>
              <w:t>NeverBounce API</w:t>
            </w:r>
          </w:p>
        </w:tc>
        <w:tc>
          <w:tcPr>
            <w:tcW w:type="dxa" w:w="4320"/>
            <w:vAlign w:val="top"/>
          </w:tcPr>
          <w:p>
            <w:pPr>
              <w:spacing w:before="40" w:after="40"/>
            </w:pPr>
            <w:r/>
            <w:r>
              <w:rPr>
                <w:sz w:val="19"/>
              </w:rPr>
              <w:t>Verifier 2</w:t>
            </w:r>
          </w:p>
        </w:tc>
        <w:tc>
          <w:tcPr>
            <w:tcW w:type="dxa" w:w="2592"/>
            <w:vAlign w:val="top"/>
          </w:tcPr>
          <w:p>
            <w:pPr>
              <w:spacing w:before="40" w:after="40"/>
            </w:pPr>
            <w:r/>
            <w:r>
              <w:rPr>
                <w:sz w:val="19"/>
              </w:rPr>
              <w:t>API key</w:t>
            </w:r>
          </w:p>
        </w:tc>
      </w:tr>
      <w:tr>
        <w:tc>
          <w:tcPr>
            <w:tcW w:type="dxa" w:w="2880"/>
            <w:vAlign w:val="top"/>
            <w:shd w:val="clear" w:color="auto" w:fill="EDF2F7"/>
          </w:tcPr>
          <w:p>
            <w:pPr>
              <w:spacing w:before="40" w:after="40"/>
            </w:pPr>
            <w:r/>
            <w:r>
              <w:rPr>
                <w:b/>
                <w:sz w:val="19"/>
              </w:rPr>
              <w:t>DocuSign eSignature REST API</w:t>
            </w:r>
          </w:p>
        </w:tc>
        <w:tc>
          <w:tcPr>
            <w:tcW w:type="dxa" w:w="4320"/>
            <w:vAlign w:val="top"/>
            <w:shd w:val="clear" w:color="auto" w:fill="EDF2F7"/>
          </w:tcPr>
          <w:p>
            <w:pPr>
              <w:spacing w:before="40" w:after="40"/>
            </w:pPr>
            <w:r/>
            <w:r>
              <w:rPr>
                <w:sz w:val="19"/>
              </w:rPr>
              <w:t>NDA envelopes + reminders + countersign routing</w:t>
            </w:r>
          </w:p>
        </w:tc>
        <w:tc>
          <w:tcPr>
            <w:tcW w:type="dxa" w:w="2592"/>
            <w:vAlign w:val="top"/>
            <w:shd w:val="clear" w:color="auto" w:fill="EDF2F7"/>
          </w:tcPr>
          <w:p>
            <w:pPr>
              <w:spacing w:before="40" w:after="40"/>
            </w:pPr>
            <w:r/>
            <w:r>
              <w:rPr>
                <w:sz w:val="19"/>
              </w:rPr>
              <w:t>OAuth (JWT grant)</w:t>
            </w:r>
          </w:p>
        </w:tc>
      </w:tr>
      <w:tr>
        <w:tc>
          <w:tcPr>
            <w:tcW w:type="dxa" w:w="2880"/>
            <w:vAlign w:val="top"/>
          </w:tcPr>
          <w:p>
            <w:pPr>
              <w:spacing w:before="40" w:after="40"/>
            </w:pPr>
            <w:r/>
            <w:r>
              <w:rPr>
                <w:b/>
                <w:sz w:val="19"/>
              </w:rPr>
              <w:t>Microsoft OneDrive (Graph API)</w:t>
            </w:r>
          </w:p>
        </w:tc>
        <w:tc>
          <w:tcPr>
            <w:tcW w:type="dxa" w:w="4320"/>
            <w:vAlign w:val="top"/>
          </w:tcPr>
          <w:p>
            <w:pPr>
              <w:spacing w:before="40" w:after="40"/>
            </w:pPr>
            <w:r/>
            <w:r>
              <w:rPr>
                <w:sz w:val="19"/>
              </w:rPr>
              <w:t>Source folder for documents</w:t>
            </w:r>
          </w:p>
        </w:tc>
        <w:tc>
          <w:tcPr>
            <w:tcW w:type="dxa" w:w="2592"/>
            <w:vAlign w:val="top"/>
          </w:tcPr>
          <w:p>
            <w:pPr>
              <w:spacing w:before="40" w:after="40"/>
            </w:pPr>
            <w:r/>
            <w:r>
              <w:rPr>
                <w:sz w:val="19"/>
              </w:rPr>
              <w:t>OAuth (delegated)</w:t>
            </w:r>
          </w:p>
        </w:tc>
      </w:tr>
      <w:tr>
        <w:tc>
          <w:tcPr>
            <w:tcW w:type="dxa" w:w="2880"/>
            <w:vAlign w:val="top"/>
            <w:shd w:val="clear" w:color="auto" w:fill="EDF2F7"/>
          </w:tcPr>
          <w:p>
            <w:pPr>
              <w:spacing w:before="40" w:after="40"/>
            </w:pPr>
            <w:r/>
            <w:r>
              <w:rPr>
                <w:b/>
                <w:sz w:val="19"/>
              </w:rPr>
              <w:t>Microsoft Bookings (Graph API)</w:t>
            </w:r>
          </w:p>
        </w:tc>
        <w:tc>
          <w:tcPr>
            <w:tcW w:type="dxa" w:w="4320"/>
            <w:vAlign w:val="top"/>
            <w:shd w:val="clear" w:color="auto" w:fill="EDF2F7"/>
          </w:tcPr>
          <w:p>
            <w:pPr>
              <w:spacing w:before="40" w:after="40"/>
            </w:pPr>
            <w:r/>
            <w:r>
              <w:rPr>
                <w:sz w:val="19"/>
              </w:rPr>
              <w:t>Meeting scheduler — option A</w:t>
            </w:r>
          </w:p>
        </w:tc>
        <w:tc>
          <w:tcPr>
            <w:tcW w:type="dxa" w:w="2592"/>
            <w:vAlign w:val="top"/>
            <w:shd w:val="clear" w:color="auto" w:fill="EDF2F7"/>
          </w:tcPr>
          <w:p>
            <w:pPr>
              <w:spacing w:before="40" w:after="40"/>
            </w:pPr>
            <w:r/>
            <w:r>
              <w:rPr>
                <w:sz w:val="19"/>
              </w:rPr>
              <w:t>OAuth (delegated)</w:t>
            </w:r>
          </w:p>
        </w:tc>
      </w:tr>
      <w:tr>
        <w:tc>
          <w:tcPr>
            <w:tcW w:type="dxa" w:w="2880"/>
            <w:vAlign w:val="top"/>
          </w:tcPr>
          <w:p>
            <w:pPr>
              <w:spacing w:before="40" w:after="40"/>
            </w:pPr>
            <w:r/>
            <w:r>
              <w:rPr>
                <w:b/>
                <w:sz w:val="19"/>
              </w:rPr>
              <w:t>HubSpot API</w:t>
            </w:r>
          </w:p>
        </w:tc>
        <w:tc>
          <w:tcPr>
            <w:tcW w:type="dxa" w:w="4320"/>
            <w:vAlign w:val="top"/>
          </w:tcPr>
          <w:p>
            <w:pPr>
              <w:spacing w:before="40" w:after="40"/>
            </w:pPr>
            <w:r/>
            <w:r>
              <w:rPr>
                <w:sz w:val="19"/>
              </w:rPr>
              <w:t>CRM logging + Meetings scheduler (togglable)</w:t>
            </w:r>
          </w:p>
        </w:tc>
        <w:tc>
          <w:tcPr>
            <w:tcW w:type="dxa" w:w="2592"/>
            <w:vAlign w:val="top"/>
          </w:tcPr>
          <w:p>
            <w:pPr>
              <w:spacing w:before="40" w:after="40"/>
            </w:pPr>
            <w:r/>
            <w:r>
              <w:rPr>
                <w:sz w:val="19"/>
              </w:rPr>
              <w:t>OAuth</w:t>
            </w:r>
          </w:p>
        </w:tc>
      </w:tr>
      <w:tr>
        <w:tc>
          <w:tcPr>
            <w:tcW w:type="dxa" w:w="2880"/>
            <w:vAlign w:val="top"/>
            <w:shd w:val="clear" w:color="auto" w:fill="EDF2F7"/>
          </w:tcPr>
          <w:p>
            <w:pPr>
              <w:spacing w:before="40" w:after="40"/>
            </w:pPr>
            <w:r/>
            <w:r>
              <w:rPr>
                <w:b/>
                <w:sz w:val="19"/>
              </w:rPr>
              <w:t>Google Search API</w:t>
            </w:r>
          </w:p>
        </w:tc>
        <w:tc>
          <w:tcPr>
            <w:tcW w:type="dxa" w:w="4320"/>
            <w:vAlign w:val="top"/>
            <w:shd w:val="clear" w:color="auto" w:fill="EDF2F7"/>
          </w:tcPr>
          <w:p>
            <w:pPr>
              <w:spacing w:before="40" w:after="40"/>
            </w:pPr>
            <w:r/>
            <w:r>
              <w:rPr>
                <w:sz w:val="19"/>
              </w:rPr>
              <w:t>LinkedIn URL discovery (fuzzy match)</w:t>
            </w:r>
          </w:p>
        </w:tc>
        <w:tc>
          <w:tcPr>
            <w:tcW w:type="dxa" w:w="2592"/>
            <w:vAlign w:val="top"/>
            <w:shd w:val="clear" w:color="auto" w:fill="EDF2F7"/>
          </w:tcPr>
          <w:p>
            <w:pPr>
              <w:spacing w:before="40" w:after="40"/>
            </w:pPr>
            <w:r/>
            <w:r>
              <w:rPr>
                <w:sz w:val="19"/>
              </w:rPr>
              <w:t>API key</w:t>
            </w:r>
          </w:p>
        </w:tc>
      </w:tr>
      <w:tr>
        <w:tc>
          <w:tcPr>
            <w:tcW w:type="dxa" w:w="2880"/>
            <w:vAlign w:val="top"/>
          </w:tcPr>
          <w:p>
            <w:pPr>
              <w:spacing w:before="40" w:after="40"/>
            </w:pPr>
            <w:r/>
            <w:r>
              <w:rPr>
                <w:b/>
                <w:sz w:val="19"/>
              </w:rPr>
              <w:t>LinkedIn Sales Navigator</w:t>
            </w:r>
          </w:p>
        </w:tc>
        <w:tc>
          <w:tcPr>
            <w:tcW w:type="dxa" w:w="4320"/>
            <w:vAlign w:val="top"/>
          </w:tcPr>
          <w:p>
            <w:pPr>
              <w:spacing w:before="40" w:after="40"/>
            </w:pPr>
            <w:r/>
            <w:r>
              <w:rPr>
                <w:sz w:val="19"/>
              </w:rPr>
              <w:t>Manual workflow only (no API integration)</w:t>
            </w:r>
          </w:p>
        </w:tc>
        <w:tc>
          <w:tcPr>
            <w:tcW w:type="dxa" w:w="2592"/>
            <w:vAlign w:val="top"/>
          </w:tcPr>
          <w:p>
            <w:pPr>
              <w:spacing w:before="40" w:after="40"/>
            </w:pPr>
            <w:r/>
            <w:r>
              <w:rPr>
                <w:sz w:val="19"/>
              </w:rPr>
              <w:t>n/a</w:t>
            </w:r>
          </w:p>
        </w:tc>
      </w:tr>
    </w:tbl>
    <w:p>
      <w:pPr>
        <w:spacing w:after="40"/>
      </w:pPr>
    </w:p>
    <w:p>
      <w:r>
        <w:br w:type="page"/>
      </w:r>
    </w:p>
    <w:p>
      <w:pPr>
        <w:spacing w:before="240" w:after="120"/>
        <w:pBdr>
          <w:bottom w:val="single" w:sz="6" w:space="1" w:color="1F3A5F"/>
        </w:pBdr>
      </w:pPr>
      <w:r>
        <w:rPr>
          <w:b/>
          <w:color w:val="1F3A5F"/>
          <w:sz w:val="32"/>
        </w:rPr>
        <w:t>3. Mandate Setup</w:t>
      </w:r>
    </w:p>
    <w:p>
      <w:pPr>
        <w:spacing w:before="0" w:after="80"/>
      </w:pPr>
      <w:r>
        <w:rPr>
          <w:b w:val="0"/>
          <w:i w:val="0"/>
          <w:sz w:val="21"/>
        </w:rPr>
        <w:t>Mandate setup captures only what the platform needs to execute outreach. Deal strategy, buyer scope, target company details, and client sign-off all remain outside the platform by design — they belong in the advisor's upstream workflow and client relationship.</w:t>
      </w:r>
    </w:p>
    <w:p>
      <w:pPr>
        <w:spacing w:before="240" w:after="120"/>
      </w:pPr>
      <w:r>
        <w:rPr>
          <w:b/>
          <w:color w:val="1F3A5F"/>
          <w:sz w:val="26"/>
        </w:rPr>
        <w:t>3.1 Mandate Setup Form Fields</w:t>
      </w:r>
    </w:p>
    <w:tbl>
      <w:tblPr>
        <w:tblStyle w:val="TableGrid"/>
        <w:tblW w:type="auto" w:w="0"/>
        <w:jc w:val="left"/>
        <w:tblLook w:firstColumn="1" w:firstRow="1" w:lastColumn="0" w:lastRow="0" w:noHBand="0" w:noVBand="1" w:val="04A0"/>
      </w:tblPr>
      <w:tblGrid>
        <w:gridCol w:w="3249"/>
        <w:gridCol w:w="3249"/>
        <w:gridCol w:w="3249"/>
      </w:tblGrid>
      <w:tr>
        <w:tc>
          <w:tcPr>
            <w:tcW w:type="dxa" w:w="2880"/>
            <w:shd w:val="clear" w:color="auto" w:fill="1F3A5F"/>
            <w:vAlign w:val="center"/>
          </w:tcPr>
          <w:p>
            <w:pPr>
              <w:spacing w:before="40" w:after="40"/>
            </w:pPr>
            <w:r/>
            <w:r>
              <w:rPr>
                <w:b/>
                <w:color w:val="FFFFFF"/>
                <w:sz w:val="20"/>
              </w:rPr>
              <w:t>Field</w:t>
            </w:r>
          </w:p>
        </w:tc>
        <w:tc>
          <w:tcPr>
            <w:tcW w:type="dxa" w:w="2304"/>
            <w:shd w:val="clear" w:color="auto" w:fill="1F3A5F"/>
            <w:vAlign w:val="center"/>
          </w:tcPr>
          <w:p>
            <w:pPr>
              <w:spacing w:before="40" w:after="40"/>
            </w:pPr>
            <w:r/>
            <w:r>
              <w:rPr>
                <w:b/>
                <w:color w:val="FFFFFF"/>
                <w:sz w:val="20"/>
              </w:rPr>
              <w:t>Requirement</w:t>
            </w:r>
          </w:p>
        </w:tc>
        <w:tc>
          <w:tcPr>
            <w:tcW w:type="dxa" w:w="4608"/>
            <w:shd w:val="clear" w:color="auto" w:fill="1F3A5F"/>
            <w:vAlign w:val="center"/>
          </w:tcPr>
          <w:p>
            <w:pPr>
              <w:spacing w:before="40" w:after="40"/>
            </w:pPr>
            <w:r/>
            <w:r>
              <w:rPr>
                <w:b/>
                <w:color w:val="FFFFFF"/>
                <w:sz w:val="20"/>
              </w:rPr>
              <w:t>Notes</w:t>
            </w:r>
          </w:p>
        </w:tc>
      </w:tr>
      <w:tr>
        <w:tc>
          <w:tcPr>
            <w:tcW w:type="dxa" w:w="2880"/>
            <w:vAlign w:val="top"/>
          </w:tcPr>
          <w:p>
            <w:pPr>
              <w:spacing w:before="40" w:after="40"/>
            </w:pPr>
            <w:r/>
            <w:r>
              <w:rPr>
                <w:b/>
                <w:sz w:val="19"/>
              </w:rPr>
              <w:t>Mandate name</w:t>
            </w:r>
          </w:p>
        </w:tc>
        <w:tc>
          <w:tcPr>
            <w:tcW w:type="dxa" w:w="2304"/>
            <w:vAlign w:val="top"/>
          </w:tcPr>
          <w:p>
            <w:pPr>
              <w:spacing w:before="40" w:after="40"/>
            </w:pPr>
            <w:r/>
            <w:r>
              <w:rPr>
                <w:sz w:val="19"/>
              </w:rPr>
              <w:t>Mandatory</w:t>
            </w:r>
          </w:p>
        </w:tc>
        <w:tc>
          <w:tcPr>
            <w:tcW w:type="dxa" w:w="4608"/>
            <w:vAlign w:val="top"/>
          </w:tcPr>
          <w:p>
            <w:pPr>
              <w:spacing w:before="40" w:after="40"/>
            </w:pPr>
            <w:r/>
            <w:r>
              <w:rPr>
                <w:sz w:val="19"/>
              </w:rPr>
              <w:t>Single field doubles as project code; used in dashboards</w:t>
            </w:r>
          </w:p>
        </w:tc>
      </w:tr>
      <w:tr>
        <w:tc>
          <w:tcPr>
            <w:tcW w:type="dxa" w:w="2880"/>
            <w:vAlign w:val="top"/>
            <w:shd w:val="clear" w:color="auto" w:fill="EDF2F7"/>
          </w:tcPr>
          <w:p>
            <w:pPr>
              <w:spacing w:before="40" w:after="40"/>
            </w:pPr>
            <w:r/>
            <w:r>
              <w:rPr>
                <w:b/>
                <w:sz w:val="19"/>
              </w:rPr>
              <w:t>Mandate status</w:t>
            </w:r>
          </w:p>
        </w:tc>
        <w:tc>
          <w:tcPr>
            <w:tcW w:type="dxa" w:w="2304"/>
            <w:vAlign w:val="top"/>
            <w:shd w:val="clear" w:color="auto" w:fill="EDF2F7"/>
          </w:tcPr>
          <w:p>
            <w:pPr>
              <w:spacing w:before="40" w:after="40"/>
            </w:pPr>
            <w:r/>
            <w:r>
              <w:rPr>
                <w:sz w:val="19"/>
              </w:rPr>
              <w:t>Auto</w:t>
            </w:r>
          </w:p>
        </w:tc>
        <w:tc>
          <w:tcPr>
            <w:tcW w:type="dxa" w:w="4608"/>
            <w:vAlign w:val="top"/>
            <w:shd w:val="clear" w:color="auto" w:fill="EDF2F7"/>
          </w:tcPr>
          <w:p>
            <w:pPr>
              <w:spacing w:before="40" w:after="40"/>
            </w:pPr>
            <w:r/>
            <w:r>
              <w:rPr>
                <w:sz w:val="19"/>
              </w:rPr>
              <w:t>Draft / Active / On Hold / Closed</w:t>
            </w:r>
          </w:p>
        </w:tc>
      </w:tr>
      <w:tr>
        <w:tc>
          <w:tcPr>
            <w:tcW w:type="dxa" w:w="2880"/>
            <w:vAlign w:val="top"/>
          </w:tcPr>
          <w:p>
            <w:pPr>
              <w:spacing w:before="40" w:after="40"/>
            </w:pPr>
            <w:r/>
            <w:r>
              <w:rPr>
                <w:b/>
                <w:sz w:val="19"/>
              </w:rPr>
              <w:t>Lead advisor</w:t>
            </w:r>
          </w:p>
        </w:tc>
        <w:tc>
          <w:tcPr>
            <w:tcW w:type="dxa" w:w="2304"/>
            <w:vAlign w:val="top"/>
          </w:tcPr>
          <w:p>
            <w:pPr>
              <w:spacing w:before="40" w:after="40"/>
            </w:pPr>
            <w:r/>
            <w:r>
              <w:rPr>
                <w:sz w:val="19"/>
              </w:rPr>
              <w:t>Mandatory</w:t>
            </w:r>
          </w:p>
        </w:tc>
        <w:tc>
          <w:tcPr>
            <w:tcW w:type="dxa" w:w="4608"/>
            <w:vAlign w:val="top"/>
          </w:tcPr>
          <w:p>
            <w:pPr>
              <w:spacing w:before="40" w:after="40"/>
            </w:pPr>
            <w:r/>
            <w:r>
              <w:rPr>
                <w:sz w:val="19"/>
              </w:rPr>
              <w:t>Defaults to logged-in user</w:t>
            </w:r>
          </w:p>
        </w:tc>
      </w:tr>
      <w:tr>
        <w:tc>
          <w:tcPr>
            <w:tcW w:type="dxa" w:w="2880"/>
            <w:vAlign w:val="top"/>
            <w:shd w:val="clear" w:color="auto" w:fill="EDF2F7"/>
          </w:tcPr>
          <w:p>
            <w:pPr>
              <w:spacing w:before="40" w:after="40"/>
            </w:pPr>
            <w:r/>
            <w:r>
              <w:rPr>
                <w:b/>
                <w:sz w:val="19"/>
              </w:rPr>
              <w:t>Sender mailbox</w:t>
            </w:r>
          </w:p>
        </w:tc>
        <w:tc>
          <w:tcPr>
            <w:tcW w:type="dxa" w:w="2304"/>
            <w:vAlign w:val="top"/>
            <w:shd w:val="clear" w:color="auto" w:fill="EDF2F7"/>
          </w:tcPr>
          <w:p>
            <w:pPr>
              <w:spacing w:before="40" w:after="40"/>
            </w:pPr>
            <w:r/>
            <w:r>
              <w:rPr>
                <w:sz w:val="19"/>
              </w:rPr>
              <w:t>Mandatory</w:t>
            </w:r>
          </w:p>
        </w:tc>
        <w:tc>
          <w:tcPr>
            <w:tcW w:type="dxa" w:w="4608"/>
            <w:vAlign w:val="top"/>
            <w:shd w:val="clear" w:color="auto" w:fill="EDF2F7"/>
          </w:tcPr>
          <w:p>
            <w:pPr>
              <w:spacing w:before="40" w:after="40"/>
            </w:pPr>
            <w:r/>
            <w:r>
              <w:rPr>
                <w:sz w:val="19"/>
              </w:rPr>
              <w:t>Defaults to outreach@velocitycapital.co.nz; manual override field</w:t>
            </w:r>
          </w:p>
        </w:tc>
      </w:tr>
      <w:tr>
        <w:tc>
          <w:tcPr>
            <w:tcW w:type="dxa" w:w="2880"/>
            <w:vAlign w:val="top"/>
          </w:tcPr>
          <w:p>
            <w:pPr>
              <w:spacing w:before="40" w:after="40"/>
            </w:pPr>
            <w:r/>
            <w:r>
              <w:rPr>
                <w:b/>
                <w:sz w:val="19"/>
              </w:rPr>
              <w:t>Sender display name</w:t>
            </w:r>
          </w:p>
        </w:tc>
        <w:tc>
          <w:tcPr>
            <w:tcW w:type="dxa" w:w="2304"/>
            <w:vAlign w:val="top"/>
          </w:tcPr>
          <w:p>
            <w:pPr>
              <w:spacing w:before="40" w:after="40"/>
            </w:pPr>
            <w:r/>
            <w:r>
              <w:rPr>
                <w:sz w:val="19"/>
              </w:rPr>
              <w:t>Mandatory</w:t>
            </w:r>
          </w:p>
        </w:tc>
        <w:tc>
          <w:tcPr>
            <w:tcW w:type="dxa" w:w="4608"/>
            <w:vAlign w:val="top"/>
          </w:tcPr>
          <w:p>
            <w:pPr>
              <w:spacing w:before="40" w:after="40"/>
            </w:pPr>
            <w:r/>
            <w:r>
              <w:rPr>
                <w:sz w:val="19"/>
              </w:rPr>
              <w:t>Defaults to lead advisor</w:t>
            </w:r>
          </w:p>
        </w:tc>
      </w:tr>
      <w:tr>
        <w:tc>
          <w:tcPr>
            <w:tcW w:type="dxa" w:w="2880"/>
            <w:vAlign w:val="top"/>
            <w:shd w:val="clear" w:color="auto" w:fill="EDF2F7"/>
          </w:tcPr>
          <w:p>
            <w:pPr>
              <w:spacing w:before="40" w:after="40"/>
            </w:pPr>
            <w:r/>
            <w:r>
              <w:rPr>
                <w:b/>
                <w:sz w:val="19"/>
              </w:rPr>
              <w:t>Sender signature</w:t>
            </w:r>
          </w:p>
        </w:tc>
        <w:tc>
          <w:tcPr>
            <w:tcW w:type="dxa" w:w="2304"/>
            <w:vAlign w:val="top"/>
            <w:shd w:val="clear" w:color="auto" w:fill="EDF2F7"/>
          </w:tcPr>
          <w:p>
            <w:pPr>
              <w:spacing w:before="40" w:after="40"/>
            </w:pPr>
            <w:r/>
            <w:r>
              <w:rPr>
                <w:sz w:val="19"/>
              </w:rPr>
              <w:t>Mandatory</w:t>
            </w:r>
          </w:p>
        </w:tc>
        <w:tc>
          <w:tcPr>
            <w:tcW w:type="dxa" w:w="4608"/>
            <w:vAlign w:val="top"/>
            <w:shd w:val="clear" w:color="auto" w:fill="EDF2F7"/>
          </w:tcPr>
          <w:p>
            <w:pPr>
              <w:spacing w:before="40" w:after="40"/>
            </w:pPr>
            <w:r/>
            <w:r>
              <w:rPr>
                <w:sz w:val="19"/>
              </w:rPr>
              <w:t>Rich-text; per-mandate override</w:t>
            </w:r>
          </w:p>
        </w:tc>
      </w:tr>
      <w:tr>
        <w:tc>
          <w:tcPr>
            <w:tcW w:type="dxa" w:w="2880"/>
            <w:vAlign w:val="top"/>
          </w:tcPr>
          <w:p>
            <w:pPr>
              <w:spacing w:before="40" w:after="40"/>
            </w:pPr>
            <w:r/>
            <w:r>
              <w:rPr>
                <w:b/>
                <w:sz w:val="19"/>
              </w:rPr>
              <w:t>Sequence template</w:t>
            </w:r>
          </w:p>
        </w:tc>
        <w:tc>
          <w:tcPr>
            <w:tcW w:type="dxa" w:w="2304"/>
            <w:vAlign w:val="top"/>
          </w:tcPr>
          <w:p>
            <w:pPr>
              <w:spacing w:before="40" w:after="40"/>
            </w:pPr>
            <w:r/>
            <w:r>
              <w:rPr>
                <w:sz w:val="19"/>
              </w:rPr>
              <w:t>Mandatory</w:t>
            </w:r>
          </w:p>
        </w:tc>
        <w:tc>
          <w:tcPr>
            <w:tcW w:type="dxa" w:w="4608"/>
            <w:vAlign w:val="top"/>
          </w:tcPr>
          <w:p>
            <w:pPr>
              <w:spacing w:before="40" w:after="40"/>
            </w:pPr>
            <w:r/>
            <w:r>
              <w:rPr>
                <w:sz w:val="19"/>
              </w:rPr>
              <w:t>Selected from library; copied for per-mandate editing</w:t>
            </w:r>
          </w:p>
        </w:tc>
      </w:tr>
      <w:tr>
        <w:tc>
          <w:tcPr>
            <w:tcW w:type="dxa" w:w="2880"/>
            <w:vAlign w:val="top"/>
            <w:shd w:val="clear" w:color="auto" w:fill="EDF2F7"/>
          </w:tcPr>
          <w:p>
            <w:pPr>
              <w:spacing w:before="40" w:after="40"/>
            </w:pPr>
            <w:r/>
            <w:r>
              <w:rPr>
                <w:b/>
                <w:sz w:val="19"/>
              </w:rPr>
              <w:t>Flyer PDF</w:t>
            </w:r>
          </w:p>
        </w:tc>
        <w:tc>
          <w:tcPr>
            <w:tcW w:type="dxa" w:w="2304"/>
            <w:vAlign w:val="top"/>
            <w:shd w:val="clear" w:color="auto" w:fill="EDF2F7"/>
          </w:tcPr>
          <w:p>
            <w:pPr>
              <w:spacing w:before="40" w:after="40"/>
            </w:pPr>
            <w:r/>
            <w:r>
              <w:rPr>
                <w:sz w:val="19"/>
              </w:rPr>
              <w:t>Mandatory</w:t>
            </w:r>
          </w:p>
        </w:tc>
        <w:tc>
          <w:tcPr>
            <w:tcW w:type="dxa" w:w="4608"/>
            <w:vAlign w:val="top"/>
            <w:shd w:val="clear" w:color="auto" w:fill="EDF2F7"/>
          </w:tcPr>
          <w:p>
            <w:pPr>
              <w:spacing w:before="40" w:after="40"/>
            </w:pPr>
            <w:r/>
            <w:r>
              <w:rPr>
                <w:sz w:val="19"/>
              </w:rPr>
              <w:t>File upload preferred; OneDrive path as alternative</w:t>
            </w:r>
          </w:p>
        </w:tc>
      </w:tr>
      <w:tr>
        <w:tc>
          <w:tcPr>
            <w:tcW w:type="dxa" w:w="2880"/>
            <w:vAlign w:val="top"/>
          </w:tcPr>
          <w:p>
            <w:pPr>
              <w:spacing w:before="40" w:after="40"/>
            </w:pPr>
            <w:r/>
            <w:r>
              <w:rPr>
                <w:b/>
                <w:sz w:val="19"/>
              </w:rPr>
              <w:t>NDA PDF (signable)</w:t>
            </w:r>
          </w:p>
        </w:tc>
        <w:tc>
          <w:tcPr>
            <w:tcW w:type="dxa" w:w="2304"/>
            <w:vAlign w:val="top"/>
          </w:tcPr>
          <w:p>
            <w:pPr>
              <w:spacing w:before="40" w:after="40"/>
            </w:pPr>
            <w:r/>
            <w:r>
              <w:rPr>
                <w:sz w:val="19"/>
              </w:rPr>
              <w:t>Mandatory</w:t>
            </w:r>
          </w:p>
        </w:tc>
        <w:tc>
          <w:tcPr>
            <w:tcW w:type="dxa" w:w="4608"/>
            <w:vAlign w:val="top"/>
          </w:tcPr>
          <w:p>
            <w:pPr>
              <w:spacing w:before="40" w:after="40"/>
            </w:pPr>
            <w:r/>
            <w:r>
              <w:rPr>
                <w:sz w:val="19"/>
              </w:rPr>
              <w:t>Generic; buyer fills entity at signing OR pre-fill at send</w:t>
            </w:r>
          </w:p>
        </w:tc>
      </w:tr>
      <w:tr>
        <w:tc>
          <w:tcPr>
            <w:tcW w:type="dxa" w:w="2880"/>
            <w:vAlign w:val="top"/>
            <w:shd w:val="clear" w:color="auto" w:fill="EDF2F7"/>
          </w:tcPr>
          <w:p>
            <w:pPr>
              <w:spacing w:before="40" w:after="40"/>
            </w:pPr>
            <w:r/>
            <w:r>
              <w:rPr>
                <w:b/>
                <w:sz w:val="19"/>
              </w:rPr>
              <w:t>NDA Word doc (redline fallback)</w:t>
            </w:r>
          </w:p>
        </w:tc>
        <w:tc>
          <w:tcPr>
            <w:tcW w:type="dxa" w:w="2304"/>
            <w:vAlign w:val="top"/>
            <w:shd w:val="clear" w:color="auto" w:fill="EDF2F7"/>
          </w:tcPr>
          <w:p>
            <w:pPr>
              <w:spacing w:before="40" w:after="40"/>
            </w:pPr>
            <w:r/>
            <w:r>
              <w:rPr>
                <w:sz w:val="19"/>
              </w:rPr>
              <w:t>Mandatory</w:t>
            </w:r>
          </w:p>
        </w:tc>
        <w:tc>
          <w:tcPr>
            <w:tcW w:type="dxa" w:w="4608"/>
            <w:vAlign w:val="top"/>
            <w:shd w:val="clear" w:color="auto" w:fill="EDF2F7"/>
          </w:tcPr>
          <w:p>
            <w:pPr>
              <w:spacing w:before="40" w:after="40"/>
            </w:pPr>
            <w:r/>
            <w:r>
              <w:rPr>
                <w:sz w:val="19"/>
              </w:rPr>
              <w:t>Includes {{buyer_entity_name}} token if pre-fill mode is to be supported</w:t>
            </w:r>
          </w:p>
        </w:tc>
      </w:tr>
      <w:tr>
        <w:tc>
          <w:tcPr>
            <w:tcW w:type="dxa" w:w="2880"/>
            <w:vAlign w:val="top"/>
          </w:tcPr>
          <w:p>
            <w:pPr>
              <w:spacing w:before="40" w:after="40"/>
            </w:pPr>
            <w:r/>
            <w:r>
              <w:rPr>
                <w:b/>
                <w:sz w:val="19"/>
              </w:rPr>
              <w:t>NDA Authoriser — name + email</w:t>
            </w:r>
          </w:p>
        </w:tc>
        <w:tc>
          <w:tcPr>
            <w:tcW w:type="dxa" w:w="2304"/>
            <w:vAlign w:val="top"/>
          </w:tcPr>
          <w:p>
            <w:pPr>
              <w:spacing w:before="40" w:after="40"/>
            </w:pPr>
            <w:r/>
            <w:r>
              <w:rPr>
                <w:sz w:val="19"/>
              </w:rPr>
              <w:t>Mandatory</w:t>
            </w:r>
          </w:p>
        </w:tc>
        <w:tc>
          <w:tcPr>
            <w:tcW w:type="dxa" w:w="4608"/>
            <w:vAlign w:val="top"/>
          </w:tcPr>
          <w:p>
            <w:pPr>
              <w:spacing w:before="40" w:after="40"/>
            </w:pPr>
            <w:r/>
            <w:r>
              <w:rPr>
                <w:sz w:val="19"/>
              </w:rPr>
              <w:t>Per-mandate, per-buyer override allowed</w:t>
            </w:r>
          </w:p>
        </w:tc>
      </w:tr>
      <w:tr>
        <w:tc>
          <w:tcPr>
            <w:tcW w:type="dxa" w:w="2880"/>
            <w:vAlign w:val="top"/>
            <w:shd w:val="clear" w:color="auto" w:fill="EDF2F7"/>
          </w:tcPr>
          <w:p>
            <w:pPr>
              <w:spacing w:before="40" w:after="40"/>
            </w:pPr>
            <w:r/>
            <w:r>
              <w:rPr>
                <w:b/>
                <w:sz w:val="19"/>
              </w:rPr>
              <w:t>Meeting scheduler</w:t>
            </w:r>
          </w:p>
        </w:tc>
        <w:tc>
          <w:tcPr>
            <w:tcW w:type="dxa" w:w="2304"/>
            <w:vAlign w:val="top"/>
            <w:shd w:val="clear" w:color="auto" w:fill="EDF2F7"/>
          </w:tcPr>
          <w:p>
            <w:pPr>
              <w:spacing w:before="40" w:after="40"/>
            </w:pPr>
            <w:r/>
            <w:r>
              <w:rPr>
                <w:sz w:val="19"/>
              </w:rPr>
              <w:t>Mandatory toggle</w:t>
            </w:r>
          </w:p>
        </w:tc>
        <w:tc>
          <w:tcPr>
            <w:tcW w:type="dxa" w:w="4608"/>
            <w:vAlign w:val="top"/>
            <w:shd w:val="clear" w:color="auto" w:fill="EDF2F7"/>
          </w:tcPr>
          <w:p>
            <w:pPr>
              <w:spacing w:before="40" w:after="40"/>
            </w:pPr>
            <w:r/>
            <w:r>
              <w:rPr>
                <w:sz w:val="19"/>
              </w:rPr>
              <w:t>MS Bookings or HubSpot Meetings</w:t>
            </w:r>
          </w:p>
        </w:tc>
      </w:tr>
      <w:tr>
        <w:tc>
          <w:tcPr>
            <w:tcW w:type="dxa" w:w="2880"/>
            <w:vAlign w:val="top"/>
          </w:tcPr>
          <w:p>
            <w:pPr>
              <w:spacing w:before="40" w:after="40"/>
            </w:pPr>
            <w:r/>
            <w:r>
              <w:rPr>
                <w:b/>
                <w:sz w:val="19"/>
              </w:rPr>
              <w:t>Default meeting length</w:t>
            </w:r>
          </w:p>
        </w:tc>
        <w:tc>
          <w:tcPr>
            <w:tcW w:type="dxa" w:w="2304"/>
            <w:vAlign w:val="top"/>
          </w:tcPr>
          <w:p>
            <w:pPr>
              <w:spacing w:before="40" w:after="40"/>
            </w:pPr>
            <w:r/>
            <w:r>
              <w:rPr>
                <w:sz w:val="19"/>
              </w:rPr>
              <w:t>Mandatory</w:t>
            </w:r>
          </w:p>
        </w:tc>
        <w:tc>
          <w:tcPr>
            <w:tcW w:type="dxa" w:w="4608"/>
            <w:vAlign w:val="top"/>
          </w:tcPr>
          <w:p>
            <w:pPr>
              <w:spacing w:before="40" w:after="40"/>
            </w:pPr>
            <w:r/>
            <w:r>
              <w:rPr>
                <w:sz w:val="19"/>
              </w:rPr>
              <w:t>Single default per mandate</w:t>
            </w:r>
          </w:p>
        </w:tc>
      </w:tr>
      <w:tr>
        <w:tc>
          <w:tcPr>
            <w:tcW w:type="dxa" w:w="2880"/>
            <w:vAlign w:val="top"/>
            <w:shd w:val="clear" w:color="auto" w:fill="EDF2F7"/>
          </w:tcPr>
          <w:p>
            <w:pPr>
              <w:spacing w:before="40" w:after="40"/>
            </w:pPr>
            <w:r/>
            <w:r>
              <w:rPr>
                <w:b/>
                <w:sz w:val="19"/>
              </w:rPr>
              <w:t>HubSpot integration</w:t>
            </w:r>
          </w:p>
        </w:tc>
        <w:tc>
          <w:tcPr>
            <w:tcW w:type="dxa" w:w="2304"/>
            <w:vAlign w:val="top"/>
            <w:shd w:val="clear" w:color="auto" w:fill="EDF2F7"/>
          </w:tcPr>
          <w:p>
            <w:pPr>
              <w:spacing w:before="40" w:after="40"/>
            </w:pPr>
            <w:r/>
            <w:r>
              <w:rPr>
                <w:sz w:val="19"/>
              </w:rPr>
              <w:t>Optional toggle</w:t>
            </w:r>
          </w:p>
        </w:tc>
        <w:tc>
          <w:tcPr>
            <w:tcW w:type="dxa" w:w="4608"/>
            <w:vAlign w:val="top"/>
            <w:shd w:val="clear" w:color="auto" w:fill="EDF2F7"/>
          </w:tcPr>
          <w:p>
            <w:pPr>
              <w:spacing w:before="40" w:after="40"/>
            </w:pPr>
            <w:r/>
            <w:r>
              <w:rPr>
                <w:sz w:val="19"/>
              </w:rPr>
              <w:t>Off by default until HubSpot stood up</w:t>
            </w:r>
          </w:p>
        </w:tc>
      </w:tr>
      <w:tr>
        <w:tc>
          <w:tcPr>
            <w:tcW w:type="dxa" w:w="2880"/>
            <w:vAlign w:val="top"/>
          </w:tcPr>
          <w:p>
            <w:pPr>
              <w:spacing w:before="40" w:after="40"/>
            </w:pPr>
            <w:r/>
            <w:r>
              <w:rPr>
                <w:b/>
                <w:sz w:val="19"/>
              </w:rPr>
              <w:t>Exclusion list (XLSX)</w:t>
            </w:r>
          </w:p>
        </w:tc>
        <w:tc>
          <w:tcPr>
            <w:tcW w:type="dxa" w:w="2304"/>
            <w:vAlign w:val="top"/>
          </w:tcPr>
          <w:p>
            <w:pPr>
              <w:spacing w:before="40" w:after="40"/>
            </w:pPr>
            <w:r/>
            <w:r>
              <w:rPr>
                <w:sz w:val="19"/>
              </w:rPr>
              <w:t>Optional</w:t>
            </w:r>
          </w:p>
        </w:tc>
        <w:tc>
          <w:tcPr>
            <w:tcW w:type="dxa" w:w="4608"/>
            <w:vAlign w:val="top"/>
          </w:tcPr>
          <w:p>
            <w:pPr>
              <w:spacing w:before="40" w:after="40"/>
            </w:pPr>
            <w:r/>
            <w:r>
              <w:rPr>
                <w:sz w:val="19"/>
              </w:rPr>
              <w:t>Cross-referenced against buyer list at import</w:t>
            </w:r>
          </w:p>
        </w:tc>
      </w:tr>
      <w:tr>
        <w:tc>
          <w:tcPr>
            <w:tcW w:type="dxa" w:w="2880"/>
            <w:vAlign w:val="top"/>
            <w:shd w:val="clear" w:color="auto" w:fill="EDF2F7"/>
          </w:tcPr>
          <w:p>
            <w:pPr>
              <w:spacing w:before="40" w:after="40"/>
            </w:pPr>
            <w:r/>
            <w:r>
              <w:rPr>
                <w:b/>
                <w:sz w:val="19"/>
              </w:rPr>
              <w:t>Compliance footer</w:t>
            </w:r>
          </w:p>
        </w:tc>
        <w:tc>
          <w:tcPr>
            <w:tcW w:type="dxa" w:w="2304"/>
            <w:vAlign w:val="top"/>
            <w:shd w:val="clear" w:color="auto" w:fill="EDF2F7"/>
          </w:tcPr>
          <w:p>
            <w:pPr>
              <w:spacing w:before="40" w:after="40"/>
            </w:pPr>
            <w:r/>
            <w:r>
              <w:rPr>
                <w:sz w:val="19"/>
              </w:rPr>
              <w:t>Toggle</w:t>
            </w:r>
          </w:p>
        </w:tc>
        <w:tc>
          <w:tcPr>
            <w:tcW w:type="dxa" w:w="4608"/>
            <w:vAlign w:val="top"/>
            <w:shd w:val="clear" w:color="auto" w:fill="EDF2F7"/>
          </w:tcPr>
          <w:p>
            <w:pPr>
              <w:spacing w:before="40" w:after="40"/>
            </w:pPr>
            <w:r/>
            <w:r>
              <w:rPr>
                <w:sz w:val="19"/>
              </w:rPr>
              <w:t>On in spec; may be turned off at build time</w:t>
            </w:r>
          </w:p>
        </w:tc>
      </w:tr>
    </w:tbl>
    <w:p>
      <w:pPr>
        <w:spacing w:after="40"/>
      </w:pPr>
    </w:p>
    <w:p>
      <w:pPr>
        <w:spacing w:before="240" w:after="120"/>
      </w:pPr>
      <w:r>
        <w:rPr>
          <w:b/>
          <w:color w:val="1F3A5F"/>
          <w:sz w:val="26"/>
        </w:rPr>
        <w:t>3.2 What Is Intentionally Outside the Platform</w:t>
      </w:r>
    </w:p>
    <w:p>
      <w:pPr>
        <w:pStyle w:val="ListBullet"/>
        <w:spacing w:after="40"/>
      </w:pPr>
      <w:r>
        <w:rPr>
          <w:sz w:val="21"/>
        </w:rPr>
        <w:t>Conversation with the seller-client about strategic buyers.</w:t>
      </w:r>
    </w:p>
    <w:p>
      <w:pPr>
        <w:pStyle w:val="ListBullet"/>
        <w:spacing w:after="40"/>
      </w:pPr>
      <w:r>
        <w:rPr>
          <w:sz w:val="21"/>
        </w:rPr>
        <w:t>Buyer research and shortlisting work in Rogo and comparables.ai.</w:t>
      </w:r>
    </w:p>
    <w:p>
      <w:pPr>
        <w:pStyle w:val="ListBullet"/>
        <w:spacing w:after="40"/>
      </w:pPr>
      <w:r>
        <w:rPr>
          <w:sz w:val="21"/>
        </w:rPr>
        <w:t>Target company name, sector, revenue, EBITDA, deal thesis.</w:t>
      </w:r>
    </w:p>
    <w:p>
      <w:pPr>
        <w:pStyle w:val="ListBullet"/>
        <w:spacing w:after="40"/>
      </w:pPr>
      <w:r>
        <w:rPr>
          <w:sz w:val="21"/>
        </w:rPr>
        <w:t>Buyer-type mix, geographic scope, size band criteria.</w:t>
      </w:r>
    </w:p>
    <w:p>
      <w:pPr>
        <w:pStyle w:val="ListBullet"/>
        <w:spacing w:after="40"/>
      </w:pPr>
      <w:r>
        <w:rPr>
          <w:sz w:val="21"/>
        </w:rPr>
        <w:t>Client sign-off documentation and approval workflow.</w:t>
      </w:r>
    </w:p>
    <w:p>
      <w:pPr>
        <w:pStyle w:val="ListBullet"/>
        <w:spacing w:after="40"/>
      </w:pPr>
      <w:r>
        <w:rPr>
          <w:sz w:val="21"/>
        </w:rPr>
        <w:t>Wet-ink NDA chasing prior to platform upload.</w:t>
      </w:r>
    </w:p>
    <w:p>
      <w:r>
        <w:br w:type="page"/>
      </w:r>
    </w:p>
    <w:p>
      <w:pPr>
        <w:spacing w:before="240" w:after="120"/>
        <w:pBdr>
          <w:bottom w:val="single" w:sz="6" w:space="1" w:color="1F3A5F"/>
        </w:pBdr>
      </w:pPr>
      <w:r>
        <w:rPr>
          <w:b/>
          <w:color w:val="1F3A5F"/>
          <w:sz w:val="32"/>
        </w:rPr>
        <w:t>4. Buyer and Contact Ingestion</w:t>
      </w:r>
    </w:p>
    <w:p>
      <w:pPr>
        <w:spacing w:before="0" w:after="80"/>
      </w:pPr>
      <w:r>
        <w:rPr>
          <w:b w:val="0"/>
          <w:i w:val="0"/>
          <w:sz w:val="21"/>
        </w:rPr>
        <w:t>The advisor uploads two files exported from comparables.ai — a Companies file and a Contacts file — plus an optional Exclusion List. The platform fuzzy-joins these and produces buyer and contact records, runs exclusion checks, and prepares for enrichment.</w:t>
      </w:r>
    </w:p>
    <w:p>
      <w:pPr>
        <w:spacing w:before="240" w:after="120"/>
      </w:pPr>
      <w:r>
        <w:rPr>
          <w:b/>
          <w:color w:val="1F3A5F"/>
          <w:sz w:val="26"/>
        </w:rPr>
        <w:t>4.1 Source Files (per mandate)</w:t>
      </w:r>
    </w:p>
    <w:tbl>
      <w:tblPr>
        <w:tblStyle w:val="TableGrid"/>
        <w:tblW w:type="auto" w:w="0"/>
        <w:jc w:val="left"/>
        <w:tblLook w:firstColumn="1" w:firstRow="1" w:lastColumn="0" w:lastRow="0" w:noHBand="0" w:noVBand="1" w:val="04A0"/>
      </w:tblPr>
      <w:tblGrid>
        <w:gridCol w:w="3249"/>
        <w:gridCol w:w="3249"/>
        <w:gridCol w:w="3249"/>
      </w:tblGrid>
      <w:tr>
        <w:tc>
          <w:tcPr>
            <w:tcW w:type="dxa" w:w="2592"/>
            <w:shd w:val="clear" w:color="auto" w:fill="1F3A5F"/>
            <w:vAlign w:val="center"/>
          </w:tcPr>
          <w:p>
            <w:pPr>
              <w:spacing w:before="40" w:after="40"/>
            </w:pPr>
            <w:r/>
            <w:r>
              <w:rPr>
                <w:b/>
                <w:color w:val="FFFFFF"/>
                <w:sz w:val="20"/>
              </w:rPr>
              <w:t>File</w:t>
            </w:r>
          </w:p>
        </w:tc>
        <w:tc>
          <w:tcPr>
            <w:tcW w:type="dxa" w:w="3456"/>
            <w:shd w:val="clear" w:color="auto" w:fill="1F3A5F"/>
            <w:vAlign w:val="center"/>
          </w:tcPr>
          <w:p>
            <w:pPr>
              <w:spacing w:before="40" w:after="40"/>
            </w:pPr>
            <w:r/>
            <w:r>
              <w:rPr>
                <w:b/>
                <w:color w:val="FFFFFF"/>
                <w:sz w:val="20"/>
              </w:rPr>
              <w:t>Source</w:t>
            </w:r>
          </w:p>
        </w:tc>
        <w:tc>
          <w:tcPr>
            <w:tcW w:type="dxa" w:w="3744"/>
            <w:shd w:val="clear" w:color="auto" w:fill="1F3A5F"/>
            <w:vAlign w:val="center"/>
          </w:tcPr>
          <w:p>
            <w:pPr>
              <w:spacing w:before="40" w:after="40"/>
            </w:pPr>
            <w:r/>
            <w:r>
              <w:rPr>
                <w:b/>
                <w:color w:val="FFFFFF"/>
                <w:sz w:val="20"/>
              </w:rPr>
              <w:t>Required columns</w:t>
            </w:r>
          </w:p>
        </w:tc>
      </w:tr>
      <w:tr>
        <w:tc>
          <w:tcPr>
            <w:tcW w:type="dxa" w:w="2592"/>
            <w:vAlign w:val="top"/>
          </w:tcPr>
          <w:p>
            <w:pPr>
              <w:spacing w:before="40" w:after="40"/>
            </w:pPr>
            <w:r/>
            <w:r>
              <w:rPr>
                <w:b/>
                <w:sz w:val="19"/>
              </w:rPr>
              <w:t>Companies XLSX</w:t>
            </w:r>
          </w:p>
        </w:tc>
        <w:tc>
          <w:tcPr>
            <w:tcW w:type="dxa" w:w="3456"/>
            <w:vAlign w:val="top"/>
          </w:tcPr>
          <w:p>
            <w:pPr>
              <w:spacing w:before="40" w:after="40"/>
            </w:pPr>
            <w:r/>
            <w:r>
              <w:rPr>
                <w:sz w:val="19"/>
              </w:rPr>
              <w:t>comparables.ai company export</w:t>
            </w:r>
          </w:p>
        </w:tc>
        <w:tc>
          <w:tcPr>
            <w:tcW w:type="dxa" w:w="3744"/>
            <w:vAlign w:val="top"/>
          </w:tcPr>
          <w:p>
            <w:pPr>
              <w:spacing w:before="40" w:after="40"/>
            </w:pPr>
            <w:r/>
            <w:r>
              <w:rPr>
                <w:sz w:val="19"/>
              </w:rPr>
              <w:t>company_name (legal entity), country, website</w:t>
            </w:r>
          </w:p>
        </w:tc>
      </w:tr>
      <w:tr>
        <w:tc>
          <w:tcPr>
            <w:tcW w:type="dxa" w:w="2592"/>
            <w:vAlign w:val="top"/>
            <w:shd w:val="clear" w:color="auto" w:fill="EDF2F7"/>
          </w:tcPr>
          <w:p>
            <w:pPr>
              <w:spacing w:before="40" w:after="40"/>
            </w:pPr>
            <w:r/>
            <w:r>
              <w:rPr>
                <w:b/>
                <w:sz w:val="19"/>
              </w:rPr>
              <w:t>Contacts XLSX</w:t>
            </w:r>
          </w:p>
        </w:tc>
        <w:tc>
          <w:tcPr>
            <w:tcW w:type="dxa" w:w="3456"/>
            <w:vAlign w:val="top"/>
            <w:shd w:val="clear" w:color="auto" w:fill="EDF2F7"/>
          </w:tcPr>
          <w:p>
            <w:pPr>
              <w:spacing w:before="40" w:after="40"/>
            </w:pPr>
            <w:r/>
            <w:r>
              <w:rPr>
                <w:sz w:val="19"/>
              </w:rPr>
              <w:t>comparables.ai contacts export</w:t>
            </w:r>
          </w:p>
        </w:tc>
        <w:tc>
          <w:tcPr>
            <w:tcW w:type="dxa" w:w="3744"/>
            <w:vAlign w:val="top"/>
            <w:shd w:val="clear" w:color="auto" w:fill="EDF2F7"/>
          </w:tcPr>
          <w:p>
            <w:pPr>
              <w:spacing w:before="40" w:after="40"/>
            </w:pPr>
            <w:r/>
            <w:r>
              <w:rPr>
                <w:sz w:val="19"/>
              </w:rPr>
              <w:t>company_name (entity reference), contact_name, contact_role</w:t>
            </w:r>
          </w:p>
        </w:tc>
      </w:tr>
      <w:tr>
        <w:tc>
          <w:tcPr>
            <w:tcW w:type="dxa" w:w="2592"/>
            <w:vAlign w:val="top"/>
          </w:tcPr>
          <w:p>
            <w:pPr>
              <w:spacing w:before="40" w:after="40"/>
            </w:pPr>
            <w:r/>
            <w:r>
              <w:rPr>
                <w:b/>
                <w:sz w:val="19"/>
              </w:rPr>
              <w:t>Exclusion list XLSX (optional)</w:t>
            </w:r>
          </w:p>
        </w:tc>
        <w:tc>
          <w:tcPr>
            <w:tcW w:type="dxa" w:w="3456"/>
            <w:vAlign w:val="top"/>
          </w:tcPr>
          <w:p>
            <w:pPr>
              <w:spacing w:before="40" w:after="40"/>
            </w:pPr>
            <w:r/>
            <w:r>
              <w:rPr>
                <w:sz w:val="19"/>
              </w:rPr>
              <w:t>Advisor-curated</w:t>
            </w:r>
          </w:p>
        </w:tc>
        <w:tc>
          <w:tcPr>
            <w:tcW w:type="dxa" w:w="3744"/>
            <w:vAlign w:val="top"/>
          </w:tcPr>
          <w:p>
            <w:pPr>
              <w:spacing w:before="40" w:after="40"/>
            </w:pPr>
            <w:r/>
            <w:r>
              <w:rPr>
                <w:sz w:val="19"/>
              </w:rPr>
              <w:t>company_name, optional website_domain</w:t>
            </w:r>
          </w:p>
        </w:tc>
      </w:tr>
    </w:tbl>
    <w:p>
      <w:pPr>
        <w:spacing w:after="40"/>
      </w:pPr>
    </w:p>
    <w:p>
      <w:pPr>
        <w:spacing w:before="240" w:after="120"/>
      </w:pPr>
      <w:r>
        <w:rPr>
          <w:b/>
          <w:color w:val="1F3A5F"/>
          <w:sz w:val="26"/>
        </w:rPr>
        <w:t>4.2 Cross-Reference and Join Logic</w:t>
      </w:r>
    </w:p>
    <w:p>
      <w:pPr>
        <w:pStyle w:val="ListBullet"/>
        <w:spacing w:after="40"/>
      </w:pPr>
      <w:r>
        <w:rPr>
          <w:sz w:val="21"/>
        </w:rPr>
        <w:t>Companies and Contacts files are joined on entity name with fuzzy matching (corporate suffixes normalised — Ltd, Limited, Pty, Inc, Holdings, etc.).</w:t>
      </w:r>
    </w:p>
    <w:p>
      <w:pPr>
        <w:pStyle w:val="ListBullet"/>
        <w:spacing w:after="40"/>
      </w:pPr>
      <w:r>
        <w:rPr>
          <w:sz w:val="21"/>
        </w:rPr>
        <w:t>Each buyer ingests with up to 5 contacts from the Contacts file.</w:t>
      </w:r>
    </w:p>
    <w:p>
      <w:pPr>
        <w:pStyle w:val="ListBullet"/>
        <w:spacing w:after="40"/>
      </w:pPr>
      <w:r>
        <w:rPr>
          <w:sz w:val="21"/>
        </w:rPr>
        <w:t>If a row in the Contacts file has no matching company row, it is flagged for user review.</w:t>
      </w:r>
    </w:p>
    <w:p>
      <w:pPr>
        <w:pStyle w:val="ListBullet"/>
        <w:spacing w:after="40"/>
      </w:pPr>
      <w:r>
        <w:rPr>
          <w:sz w:val="21"/>
        </w:rPr>
        <w:t>If a company row has no matching contact rows, the buyer is created with zero seed contacts and routed to agent-discovery (Section 5.2).</w:t>
      </w:r>
    </w:p>
    <w:p>
      <w:pPr>
        <w:spacing w:before="240" w:after="120"/>
      </w:pPr>
      <w:r>
        <w:rPr>
          <w:b/>
          <w:color w:val="1F3A5F"/>
          <w:sz w:val="26"/>
        </w:rPr>
        <w:t>4.3 Validation Rules</w:t>
      </w:r>
    </w:p>
    <w:p>
      <w:pPr>
        <w:pStyle w:val="ListBullet"/>
        <w:spacing w:after="40"/>
      </w:pPr>
      <w:r>
        <w:rPr>
          <w:sz w:val="21"/>
        </w:rPr>
        <w:t>Reject rows without a buyer company name or without at least one priority contact name (post-join).</w:t>
      </w:r>
    </w:p>
    <w:p>
      <w:pPr>
        <w:pStyle w:val="ListBullet"/>
        <w:spacing w:after="40"/>
      </w:pPr>
      <w:r>
        <w:rPr>
          <w:sz w:val="21"/>
        </w:rPr>
        <w:t>Treat "n.a", "N/A", "NA", "-", and empty string as null on all fields.</w:t>
      </w:r>
    </w:p>
    <w:p>
      <w:pPr>
        <w:pStyle w:val="ListBullet"/>
        <w:spacing w:after="40"/>
      </w:pPr>
      <w:r>
        <w:rPr>
          <w:sz w:val="21"/>
        </w:rPr>
        <w:t>Soft-warn on duplicate buyers within the same upload — ask user to merge or treat as distinct.</w:t>
      </w:r>
    </w:p>
    <w:p>
      <w:pPr>
        <w:pStyle w:val="ListBullet"/>
        <w:spacing w:after="40"/>
      </w:pPr>
      <w:r>
        <w:rPr>
          <w:sz w:val="21"/>
        </w:rPr>
        <w:t>Hard-block on buyer already present in the current mandate — refuse re-import.</w:t>
      </w:r>
    </w:p>
    <w:p>
      <w:pPr>
        <w:pStyle w:val="ListBullet"/>
        <w:spacing w:after="40"/>
      </w:pPr>
      <w:r>
        <w:rPr>
          <w:sz w:val="21"/>
        </w:rPr>
        <w:t>Soft-warn on buyer present in another active mandate — show which mandate, ask to proceed.</w:t>
      </w:r>
    </w:p>
    <w:p>
      <w:pPr>
        <w:pStyle w:val="ListBullet"/>
        <w:spacing w:after="40"/>
      </w:pPr>
      <w:r>
        <w:rPr>
          <w:sz w:val="21"/>
        </w:rPr>
        <w:t>Soft-warn on buyer matching prior opted-out in this mandate.</w:t>
      </w:r>
    </w:p>
    <w:p>
      <w:pPr>
        <w:spacing w:before="240" w:after="120"/>
      </w:pPr>
      <w:r>
        <w:rPr>
          <w:b/>
          <w:color w:val="1F3A5F"/>
          <w:sz w:val="26"/>
        </w:rPr>
        <w:t>4.4 Exclusion List Cross-Reference</w:t>
      </w:r>
    </w:p>
    <w:p>
      <w:pPr>
        <w:pStyle w:val="ListBullet"/>
        <w:spacing w:after="40"/>
      </w:pPr>
      <w:r>
        <w:rPr>
          <w:sz w:val="21"/>
        </w:rPr>
        <w:t>Match on company name AND website domain (fuzzy logic on name, exact on domain).</w:t>
      </w:r>
    </w:p>
    <w:p>
      <w:pPr>
        <w:pStyle w:val="ListBullet"/>
        <w:spacing w:after="40"/>
      </w:pPr>
      <w:r>
        <w:rPr>
          <w:sz w:val="21"/>
        </w:rPr>
        <w:t>If match found: hard warning to user with side-by-side comparison; user must explicitly confirm override to proceed; otherwise the buyer is blocked from outreach for this mandate.</w:t>
      </w:r>
    </w:p>
    <w:p>
      <w:pPr>
        <w:pStyle w:val="ListBullet"/>
        <w:spacing w:after="40"/>
      </w:pPr>
      <w:r>
        <w:rPr>
          <w:sz w:val="21"/>
        </w:rPr>
        <w:t>Audit log records every exclusion match decision (override or block).</w:t>
      </w:r>
    </w:p>
    <w:p>
      <w:pPr>
        <w:spacing w:before="240" w:after="120"/>
      </w:pPr>
      <w:r>
        <w:rPr>
          <w:b/>
          <w:color w:val="1F3A5F"/>
          <w:sz w:val="26"/>
        </w:rPr>
        <w:t>4.5 Domain Resolution</w:t>
      </w:r>
    </w:p>
    <w:p>
      <w:pPr>
        <w:pStyle w:val="ListBullet"/>
        <w:spacing w:after="40"/>
      </w:pPr>
      <w:r>
        <w:rPr>
          <w:sz w:val="21"/>
        </w:rPr>
        <w:t>If the supplied website domain redirects (e.g., parent-company website), the platform follows the redirect and uses the resolved domain for enrichment.</w:t>
      </w:r>
    </w:p>
    <w:p>
      <w:pPr>
        <w:pStyle w:val="ListBullet"/>
        <w:spacing w:after="40"/>
      </w:pPr>
      <w:r>
        <w:rPr>
          <w:sz w:val="21"/>
        </w:rPr>
        <w:t>If the domain resolves to a parking page or domain squatter, the agent flags as suspicious; user confirms or corrects before enrichment.</w:t>
      </w:r>
    </w:p>
    <w:p>
      <w:pPr>
        <w:spacing w:before="240" w:after="120"/>
      </w:pPr>
      <w:r>
        <w:rPr>
          <w:b/>
          <w:color w:val="1F3A5F"/>
          <w:sz w:val="26"/>
        </w:rPr>
        <w:t>4.6 Incremental Additions</w:t>
      </w:r>
    </w:p>
    <w:p>
      <w:pPr>
        <w:spacing w:before="0" w:after="80"/>
      </w:pPr>
      <w:r>
        <w:rPr>
          <w:b w:val="0"/>
          <w:i w:val="0"/>
          <w:sz w:val="21"/>
        </w:rPr>
        <w:t>The seed list is append-only after kickoff. New buyers can be added to an in-flight mandate by uploading a delta XLSX. Existing buyers cannot be deleted once enrichment or outreach has commenced — they can only be marked Opted Out or On Hold.</w:t>
      </w:r>
    </w:p>
    <w:p>
      <w:pPr>
        <w:spacing w:before="240" w:after="120"/>
        <w:pBdr>
          <w:bottom w:val="single" w:sz="6" w:space="1" w:color="1F3A5F"/>
        </w:pBdr>
      </w:pPr>
      <w:r>
        <w:rPr>
          <w:b/>
          <w:color w:val="1F3A5F"/>
          <w:sz w:val="32"/>
        </w:rPr>
        <w:t>5. Contact Enrichment</w:t>
      </w:r>
    </w:p>
    <w:p>
      <w:pPr>
        <w:spacing w:before="120" w:after="40"/>
        <w:jc w:val="center"/>
      </w:pPr>
      <w:r>
        <w:drawing>
          <wp:inline xmlns:a="http://schemas.openxmlformats.org/drawingml/2006/main" xmlns:pic="http://schemas.openxmlformats.org/drawingml/2006/picture">
            <wp:extent cx="6035040" cy="3697470"/>
            <wp:docPr id="2" name="Picture 2"/>
            <wp:cNvGraphicFramePr>
              <a:graphicFrameLocks noChangeAspect="1"/>
            </wp:cNvGraphicFramePr>
            <a:graphic>
              <a:graphicData uri="http://schemas.openxmlformats.org/drawingml/2006/picture">
                <pic:pic>
                  <pic:nvPicPr>
                    <pic:cNvPr id="0" name="03_enrichment.png"/>
                    <pic:cNvPicPr/>
                  </pic:nvPicPr>
                  <pic:blipFill>
                    <a:blip r:embed="rId10"/>
                    <a:stretch>
                      <a:fillRect/>
                    </a:stretch>
                  </pic:blipFill>
                  <pic:spPr>
                    <a:xfrm>
                      <a:off x="0" y="0"/>
                      <a:ext cx="6035040" cy="3697470"/>
                    </a:xfrm>
                    <a:prstGeom prst="rect"/>
                  </pic:spPr>
                </pic:pic>
              </a:graphicData>
            </a:graphic>
          </wp:inline>
        </w:drawing>
      </w:r>
    </w:p>
    <w:p>
      <w:pPr>
        <w:spacing w:after="160"/>
        <w:jc w:val="center"/>
      </w:pPr>
      <w:r>
        <w:rPr>
          <w:i/>
          <w:color w:val="4A5568"/>
          <w:sz w:val="18"/>
        </w:rPr>
        <w:t>Figure 3. Enrichment waterfall and email verification pipeline.</w:t>
      </w:r>
    </w:p>
    <w:p>
      <w:pPr>
        <w:spacing w:before="240" w:after="120"/>
      </w:pPr>
      <w:r>
        <w:rPr>
          <w:b/>
          <w:color w:val="1F3A5F"/>
          <w:sz w:val="26"/>
        </w:rPr>
        <w:t>5.1 Contact Stack Per Buyer</w:t>
      </w:r>
    </w:p>
    <w:tbl>
      <w:tblPr>
        <w:tblStyle w:val="TableGrid"/>
        <w:tblW w:type="auto" w:w="0"/>
        <w:jc w:val="left"/>
        <w:tblLook w:firstColumn="1" w:firstRow="1" w:lastColumn="0" w:lastRow="0" w:noHBand="0" w:noVBand="1" w:val="04A0"/>
      </w:tblPr>
      <w:tblGrid>
        <w:gridCol w:w="3249"/>
        <w:gridCol w:w="3249"/>
        <w:gridCol w:w="3249"/>
      </w:tblGrid>
      <w:tr>
        <w:tc>
          <w:tcPr>
            <w:tcW w:type="dxa" w:w="4320"/>
            <w:shd w:val="clear" w:color="auto" w:fill="1F3A5F"/>
            <w:vAlign w:val="center"/>
          </w:tcPr>
          <w:p>
            <w:pPr>
              <w:spacing w:before="40" w:after="40"/>
            </w:pPr>
            <w:r/>
            <w:r>
              <w:rPr>
                <w:b/>
                <w:color w:val="FFFFFF"/>
                <w:sz w:val="20"/>
              </w:rPr>
              <w:t>Source</w:t>
            </w:r>
          </w:p>
        </w:tc>
        <w:tc>
          <w:tcPr>
            <w:tcW w:type="dxa" w:w="2016"/>
            <w:shd w:val="clear" w:color="auto" w:fill="1F3A5F"/>
            <w:vAlign w:val="center"/>
          </w:tcPr>
          <w:p>
            <w:pPr>
              <w:spacing w:before="40" w:after="40"/>
            </w:pPr>
            <w:r/>
            <w:r>
              <w:rPr>
                <w:b/>
                <w:color w:val="FFFFFF"/>
                <w:sz w:val="20"/>
              </w:rPr>
              <w:t>Count</w:t>
            </w:r>
          </w:p>
        </w:tc>
        <w:tc>
          <w:tcPr>
            <w:tcW w:type="dxa" w:w="3456"/>
            <w:shd w:val="clear" w:color="auto" w:fill="1F3A5F"/>
            <w:vAlign w:val="center"/>
          </w:tcPr>
          <w:p>
            <w:pPr>
              <w:spacing w:before="40" w:after="40"/>
            </w:pPr>
            <w:r/>
            <w:r>
              <w:rPr>
                <w:b/>
                <w:color w:val="FFFFFF"/>
                <w:sz w:val="20"/>
              </w:rPr>
              <w:t>Notes</w:t>
            </w:r>
          </w:p>
        </w:tc>
      </w:tr>
      <w:tr>
        <w:tc>
          <w:tcPr>
            <w:tcW w:type="dxa" w:w="4320"/>
            <w:vAlign w:val="top"/>
          </w:tcPr>
          <w:p>
            <w:pPr>
              <w:spacing w:before="40" w:after="40"/>
            </w:pPr>
            <w:r/>
            <w:r>
              <w:rPr>
                <w:b/>
                <w:sz w:val="19"/>
              </w:rPr>
              <w:t>comparables.ai contacts file</w:t>
            </w:r>
          </w:p>
        </w:tc>
        <w:tc>
          <w:tcPr>
            <w:tcW w:type="dxa" w:w="2016"/>
            <w:vAlign w:val="top"/>
          </w:tcPr>
          <w:p>
            <w:pPr>
              <w:spacing w:before="40" w:after="40"/>
            </w:pPr>
            <w:r/>
            <w:r>
              <w:rPr>
                <w:sz w:val="19"/>
              </w:rPr>
              <w:t>Up to 5</w:t>
            </w:r>
          </w:p>
        </w:tc>
        <w:tc>
          <w:tcPr>
            <w:tcW w:type="dxa" w:w="3456"/>
            <w:vAlign w:val="top"/>
          </w:tcPr>
          <w:p>
            <w:pPr>
              <w:spacing w:before="40" w:after="40"/>
            </w:pPr>
            <w:r/>
            <w:r>
              <w:rPr>
                <w:sz w:val="19"/>
              </w:rPr>
              <w:t>Imported as seed (name + role)</w:t>
            </w:r>
          </w:p>
        </w:tc>
      </w:tr>
      <w:tr>
        <w:tc>
          <w:tcPr>
            <w:tcW w:type="dxa" w:w="4320"/>
            <w:vAlign w:val="top"/>
            <w:shd w:val="clear" w:color="auto" w:fill="EDF2F7"/>
          </w:tcPr>
          <w:p>
            <w:pPr>
              <w:spacing w:before="40" w:after="40"/>
            </w:pPr>
            <w:r/>
            <w:r>
              <w:rPr>
                <w:b/>
                <w:sz w:val="19"/>
              </w:rPr>
              <w:t>Agent-discovered (Google + LinkedIn fuzzy match)</w:t>
            </w:r>
          </w:p>
        </w:tc>
        <w:tc>
          <w:tcPr>
            <w:tcW w:type="dxa" w:w="2016"/>
            <w:vAlign w:val="top"/>
            <w:shd w:val="clear" w:color="auto" w:fill="EDF2F7"/>
          </w:tcPr>
          <w:p>
            <w:pPr>
              <w:spacing w:before="40" w:after="40"/>
            </w:pPr>
            <w:r/>
            <w:r>
              <w:rPr>
                <w:sz w:val="19"/>
              </w:rPr>
              <w:t>1 additional</w:t>
            </w:r>
          </w:p>
        </w:tc>
        <w:tc>
          <w:tcPr>
            <w:tcW w:type="dxa" w:w="3456"/>
            <w:vAlign w:val="top"/>
            <w:shd w:val="clear" w:color="auto" w:fill="EDF2F7"/>
          </w:tcPr>
          <w:p>
            <w:pPr>
              <w:spacing w:before="40" w:after="40"/>
            </w:pPr>
            <w:r/>
            <w:r>
              <w:rPr>
                <w:sz w:val="19"/>
              </w:rPr>
              <w:t>Activated when primary + secondary cannot be reached</w:t>
            </w:r>
          </w:p>
        </w:tc>
      </w:tr>
      <w:tr>
        <w:tc>
          <w:tcPr>
            <w:tcW w:type="dxa" w:w="4320"/>
            <w:vAlign w:val="top"/>
          </w:tcPr>
          <w:p>
            <w:pPr>
              <w:spacing w:before="40" w:after="40"/>
            </w:pPr>
            <w:r/>
            <w:r>
              <w:rPr>
                <w:b/>
                <w:sz w:val="19"/>
              </w:rPr>
              <w:t>Maximum per buyer</w:t>
            </w:r>
          </w:p>
        </w:tc>
        <w:tc>
          <w:tcPr>
            <w:tcW w:type="dxa" w:w="2016"/>
            <w:vAlign w:val="top"/>
          </w:tcPr>
          <w:p>
            <w:pPr>
              <w:spacing w:before="40" w:after="40"/>
            </w:pPr>
            <w:r/>
            <w:r>
              <w:rPr>
                <w:sz w:val="19"/>
              </w:rPr>
              <w:t>6</w:t>
            </w:r>
          </w:p>
        </w:tc>
        <w:tc>
          <w:tcPr>
            <w:tcW w:type="dxa" w:w="3456"/>
            <w:vAlign w:val="top"/>
          </w:tcPr>
          <w:p>
            <w:pPr>
              <w:spacing w:before="40" w:after="40"/>
            </w:pPr>
            <w:r/>
            <w:r>
              <w:rPr>
                <w:sz w:val="19"/>
              </w:rPr>
              <w:t>Hard cap</w:t>
            </w:r>
          </w:p>
        </w:tc>
      </w:tr>
    </w:tbl>
    <w:p>
      <w:pPr>
        <w:spacing w:after="40"/>
      </w:pPr>
    </w:p>
    <w:p>
      <w:pPr>
        <w:spacing w:before="240" w:after="120"/>
      </w:pPr>
      <w:r>
        <w:rPr>
          <w:b/>
          <w:color w:val="1F3A5F"/>
          <w:sz w:val="26"/>
        </w:rPr>
        <w:t>5.2 Persona Waterfall (geographic-aware)</w:t>
      </w:r>
    </w:p>
    <w:p>
      <w:pPr>
        <w:spacing w:before="0" w:after="80"/>
      </w:pPr>
      <w:r>
        <w:rPr>
          <w:b w:val="0"/>
          <w:i w:val="0"/>
          <w:sz w:val="21"/>
        </w:rPr>
        <w:t>Used by the agent to rank the seed contacts (primary → quinary) and to drive tertiary-contact discovery when primary + secondary are unreachable.</w:t>
      </w:r>
    </w:p>
    <w:tbl>
      <w:tblPr>
        <w:tblStyle w:val="TableGrid"/>
        <w:tblW w:type="auto" w:w="0"/>
        <w:jc w:val="left"/>
        <w:tblLook w:firstColumn="1" w:firstRow="1" w:lastColumn="0" w:lastRow="0" w:noHBand="0" w:noVBand="1" w:val="04A0"/>
      </w:tblPr>
      <w:tblGrid>
        <w:gridCol w:w="4873"/>
        <w:gridCol w:w="4873"/>
      </w:tblGrid>
      <w:tr>
        <w:tc>
          <w:tcPr>
            <w:tcW w:type="dxa" w:w="2736"/>
            <w:shd w:val="clear" w:color="auto" w:fill="1F3A5F"/>
            <w:vAlign w:val="center"/>
          </w:tcPr>
          <w:p>
            <w:pPr>
              <w:spacing w:before="40" w:after="40"/>
            </w:pPr>
            <w:r/>
            <w:r>
              <w:rPr>
                <w:b/>
                <w:color w:val="FFFFFF"/>
                <w:sz w:val="20"/>
              </w:rPr>
              <w:t>Buyer country group</w:t>
            </w:r>
          </w:p>
        </w:tc>
        <w:tc>
          <w:tcPr>
            <w:tcW w:type="dxa" w:w="7056"/>
            <w:shd w:val="clear" w:color="auto" w:fill="1F3A5F"/>
            <w:vAlign w:val="center"/>
          </w:tcPr>
          <w:p>
            <w:pPr>
              <w:spacing w:before="40" w:after="40"/>
            </w:pPr>
            <w:r/>
            <w:r>
              <w:rPr>
                <w:b/>
                <w:color w:val="FFFFFF"/>
                <w:sz w:val="20"/>
              </w:rPr>
              <w:t>Recommended persona order</w:t>
            </w:r>
          </w:p>
        </w:tc>
      </w:tr>
      <w:tr>
        <w:tc>
          <w:tcPr>
            <w:tcW w:type="dxa" w:w="2736"/>
            <w:vAlign w:val="top"/>
          </w:tcPr>
          <w:p>
            <w:pPr>
              <w:spacing w:before="40" w:after="40"/>
            </w:pPr>
            <w:r/>
            <w:r>
              <w:rPr>
                <w:b/>
                <w:sz w:val="19"/>
              </w:rPr>
              <w:t>AU / NZ buyers</w:t>
            </w:r>
          </w:p>
        </w:tc>
        <w:tc>
          <w:tcPr>
            <w:tcW w:type="dxa" w:w="7056"/>
            <w:vAlign w:val="top"/>
          </w:tcPr>
          <w:p>
            <w:pPr>
              <w:spacing w:before="40" w:after="40"/>
            </w:pPr>
            <w:r/>
            <w:r>
              <w:rPr>
                <w:sz w:val="19"/>
              </w:rPr>
              <w:t>CEO → Chairman → Managing Director → Owner → CFO → COO → BU Head → Corp Dev / M&amp;A</w:t>
            </w:r>
          </w:p>
        </w:tc>
      </w:tr>
      <w:tr>
        <w:tc>
          <w:tcPr>
            <w:tcW w:type="dxa" w:w="2736"/>
            <w:vAlign w:val="top"/>
            <w:shd w:val="clear" w:color="auto" w:fill="EDF2F7"/>
          </w:tcPr>
          <w:p>
            <w:pPr>
              <w:spacing w:before="40" w:after="40"/>
            </w:pPr>
            <w:r/>
            <w:r>
              <w:rPr>
                <w:b/>
                <w:sz w:val="19"/>
              </w:rPr>
              <w:t>All other countries (default)</w:t>
            </w:r>
          </w:p>
        </w:tc>
        <w:tc>
          <w:tcPr>
            <w:tcW w:type="dxa" w:w="7056"/>
            <w:vAlign w:val="top"/>
            <w:shd w:val="clear" w:color="auto" w:fill="EDF2F7"/>
          </w:tcPr>
          <w:p>
            <w:pPr>
              <w:spacing w:before="40" w:after="40"/>
            </w:pPr>
            <w:r/>
            <w:r>
              <w:rPr>
                <w:sz w:val="19"/>
              </w:rPr>
              <w:t>Corp Dev / M&amp;A → CEO → CFO → COO → Managing Director → Owner → BU Head</w:t>
            </w:r>
          </w:p>
        </w:tc>
      </w:tr>
    </w:tbl>
    <w:p>
      <w:pPr>
        <w:spacing w:after="40"/>
      </w:pPr>
    </w:p>
    <w:p>
      <w:pPr>
        <w:spacing w:before="0" w:after="80"/>
      </w:pPr>
      <w:r>
        <w:rPr>
          <w:b w:val="0"/>
          <w:i w:val="0"/>
          <w:sz w:val="21"/>
        </w:rPr>
        <w:t>The agent applies the appropriate waterfall based on the buyer's country, scores each seed contact's title against it, recommends a ranking (1=primary, 5=quinary), and surfaces for the advisor to confirm or override before enrichment runs.</w:t>
      </w:r>
    </w:p>
    <w:p>
      <w:pPr>
        <w:spacing w:before="240" w:after="120"/>
      </w:pPr>
      <w:r>
        <w:rPr>
          <w:b/>
          <w:color w:val="1F3A5F"/>
          <w:sz w:val="26"/>
        </w:rPr>
        <w:t>5.3 LinkedIn URL Discovery</w:t>
      </w:r>
    </w:p>
    <w:p>
      <w:pPr>
        <w:pStyle w:val="ListBullet"/>
        <w:spacing w:after="40"/>
      </w:pPr>
      <w:r>
        <w:rPr>
          <w:sz w:val="21"/>
        </w:rPr>
        <w:t>Agent Googles each of the 5 input contacts plus the buyer company name.</w:t>
      </w:r>
    </w:p>
    <w:p>
      <w:pPr>
        <w:pStyle w:val="ListBullet"/>
        <w:spacing w:after="40"/>
      </w:pPr>
      <w:r>
        <w:rPr>
          <w:sz w:val="21"/>
        </w:rPr>
        <w:t>Fuzzy matches the top result to the contact and stores the LinkedIn URL when identifiable.</w:t>
      </w:r>
    </w:p>
    <w:p>
      <w:pPr>
        <w:pStyle w:val="ListBullet"/>
        <w:spacing w:after="40"/>
      </w:pPr>
      <w:r>
        <w:rPr>
          <w:sz w:val="21"/>
        </w:rPr>
        <w:t>When LinkedIn URL cannot be confidently identified, the contact proceeds without it; enrichment vendors will attempt their own lookup.</w:t>
      </w:r>
    </w:p>
    <w:p>
      <w:pPr>
        <w:spacing w:before="240" w:after="120"/>
      </w:pPr>
      <w:r>
        <w:rPr>
          <w:b/>
          <w:color w:val="1F3A5F"/>
          <w:sz w:val="26"/>
        </w:rPr>
        <w:t>5.4 Enrichment Waterfall</w:t>
      </w:r>
    </w:p>
    <w:p>
      <w:pPr>
        <w:pStyle w:val="ListBullet"/>
        <w:spacing w:after="40"/>
      </w:pPr>
      <w:r>
        <w:rPr>
          <w:sz w:val="21"/>
        </w:rPr>
        <w:t>RocketReach runs first, automatically, on every contact.</w:t>
      </w:r>
    </w:p>
    <w:p>
      <w:pPr>
        <w:pStyle w:val="ListBullet"/>
        <w:spacing w:after="40"/>
      </w:pPr>
      <w:r>
        <w:rPr>
          <w:sz w:val="21"/>
        </w:rPr>
        <w:t>Apollo runs next, automatically, filling gaps.</w:t>
      </w:r>
    </w:p>
    <w:p>
      <w:pPr>
        <w:pStyle w:val="ListBullet"/>
        <w:spacing w:after="40"/>
      </w:pPr>
      <w:r>
        <w:rPr>
          <w:sz w:val="21"/>
        </w:rPr>
        <w:t>Hunter.io runs next, automatically, filling remaining gaps.</w:t>
      </w:r>
    </w:p>
    <w:p>
      <w:pPr>
        <w:pStyle w:val="ListBullet"/>
        <w:spacing w:after="40"/>
      </w:pPr>
      <w:r>
        <w:rPr>
          <w:sz w:val="21"/>
        </w:rPr>
        <w:t>Clay.com is gated behind a HITL checkpoint — agent pauses, shows completeness summary + projected credit cost, advisor chooses Use Clay or Skip.</w:t>
      </w:r>
    </w:p>
    <w:p>
      <w:pPr>
        <w:spacing w:before="240" w:after="120"/>
      </w:pPr>
      <w:r>
        <w:rPr>
          <w:b/>
          <w:color w:val="1F3A5F"/>
          <w:sz w:val="26"/>
        </w:rPr>
        <w:t>5.5 Conflict Handling</w:t>
      </w:r>
    </w:p>
    <w:p>
      <w:pPr>
        <w:spacing w:before="0" w:after="80"/>
      </w:pPr>
      <w:r>
        <w:rPr>
          <w:b w:val="0"/>
          <w:i w:val="0"/>
          <w:sz w:val="21"/>
        </w:rPr>
        <w:t>Conflicts are defined narrowly: two or more enrichment sources returning non-null, non-matching values for the same field, limited to email addresses and phone numbers. All conflicting values are retained with full source attribution. They are not collapsed to a winner. On send error, the platform retries using the next conflicting value (priority order: RocketReach → Apollo → Clay → Hunter) before escalating to the next ranked contact.</w:t>
      </w:r>
    </w:p>
    <w:p>
      <w:pPr>
        <w:spacing w:before="240" w:after="120"/>
      </w:pPr>
      <w:r>
        <w:rPr>
          <w:b/>
          <w:color w:val="1F3A5F"/>
          <w:sz w:val="26"/>
        </w:rPr>
        <w:t>5.6 Quality Gates</w:t>
      </w:r>
    </w:p>
    <w:p>
      <w:pPr>
        <w:pStyle w:val="ListBullet"/>
        <w:spacing w:after="40"/>
      </w:pPr>
      <w:r>
        <w:rPr>
          <w:sz w:val="21"/>
        </w:rPr>
        <w:t>Seniority floor: configurable user-editable keyword block list (defaults: Intern, Junior, Assistant, Coordinator).</w:t>
      </w:r>
    </w:p>
    <w:p>
      <w:pPr>
        <w:pStyle w:val="ListBullet"/>
        <w:spacing w:after="40"/>
      </w:pPr>
      <w:r>
        <w:rPr>
          <w:sz w:val="21"/>
        </w:rPr>
        <w:t>New-hire contacts (tenure &lt; 3 months): send anyway.</w:t>
      </w:r>
    </w:p>
    <w:p>
      <w:pPr>
        <w:pStyle w:val="ListBullet"/>
        <w:spacing w:after="40"/>
      </w:pPr>
      <w:r>
        <w:rPr>
          <w:sz w:val="21"/>
        </w:rPr>
        <w:t>Job-change detected during enrichment: pause this buyer's enrichment, surface HITL alert with three options — find replacement at same buyer / follow them to new company / drop them. Other buyers continue enriching in parallel.</w:t>
      </w:r>
    </w:p>
    <w:p>
      <w:pPr>
        <w:spacing w:before="240" w:after="120"/>
      </w:pPr>
      <w:r>
        <w:rPr>
          <w:b/>
          <w:color w:val="1F3A5F"/>
          <w:sz w:val="26"/>
        </w:rPr>
        <w:t>5.7 Tertiary Discovery (the 6th contact)</w:t>
      </w:r>
    </w:p>
    <w:p>
      <w:pPr>
        <w:spacing w:before="0" w:after="80"/>
      </w:pPr>
      <w:r>
        <w:rPr>
          <w:b w:val="0"/>
          <w:i w:val="0"/>
          <w:sz w:val="21"/>
        </w:rPr>
        <w:t>Triggered when both primary and secondary contacts at a buyer fail enrichment (no valid email from any verifier) OR when primary + secondary remain unresponsive through Day 14 of their respective cadences.</w:t>
      </w:r>
    </w:p>
    <w:p>
      <w:pPr>
        <w:spacing w:before="0" w:after="80"/>
      </w:pPr>
      <w:r>
        <w:rPr>
          <w:b w:val="0"/>
          <w:i w:val="0"/>
          <w:sz w:val="21"/>
        </w:rPr>
        <w:t>Agent searches RocketReach and Apollo for verified contacts at the buyer matching the applicable persona waterfall. Top 3 candidates surfaced; user picks one (or rejects all) before the discovered contact enters the sequence.</w:t>
      </w:r>
    </w:p>
    <w:p>
      <w:r>
        <w:br w:type="page"/>
      </w:r>
    </w:p>
    <w:p>
      <w:pPr>
        <w:spacing w:before="240" w:after="120"/>
        <w:pBdr>
          <w:bottom w:val="single" w:sz="6" w:space="1" w:color="1F3A5F"/>
        </w:pBdr>
      </w:pPr>
      <w:r>
        <w:rPr>
          <w:b/>
          <w:color w:val="1F3A5F"/>
          <w:sz w:val="32"/>
        </w:rPr>
        <w:t>6. Email Verification</w:t>
      </w:r>
    </w:p>
    <w:p>
      <w:pPr>
        <w:spacing w:before="0" w:after="80"/>
      </w:pPr>
      <w:r>
        <w:rPr>
          <w:b w:val="0"/>
          <w:i w:val="0"/>
          <w:sz w:val="21"/>
        </w:rPr>
        <w:t>Verification runs after enrichment and before any send, in a three-tier waterfall.</w:t>
      </w:r>
    </w:p>
    <w:p>
      <w:pPr>
        <w:pStyle w:val="ListBullet"/>
        <w:spacing w:after="40"/>
      </w:pPr>
      <w:r>
        <w:rPr>
          <w:sz w:val="21"/>
        </w:rPr>
        <w:t>Verifier 1 — Apollo native verification (fast, included with Apollo subscription).</w:t>
      </w:r>
    </w:p>
    <w:p>
      <w:pPr>
        <w:pStyle w:val="ListBullet"/>
        <w:spacing w:after="40"/>
      </w:pPr>
      <w:r>
        <w:rPr>
          <w:sz w:val="21"/>
        </w:rPr>
        <w:t>Verifier 2 — NeverBounce (invoked only if Apollo returns risky / unknown / catch-all).</w:t>
      </w:r>
    </w:p>
    <w:p>
      <w:pPr>
        <w:pStyle w:val="ListBullet"/>
        <w:spacing w:after="40"/>
      </w:pPr>
      <w:r>
        <w:rPr>
          <w:sz w:val="21"/>
        </w:rPr>
        <w:t>Verifier 3 — Hunter verifier (invoked only if NeverBounce returns inconclusive).</w:t>
      </w:r>
    </w:p>
    <w:p>
      <w:pPr>
        <w:pStyle w:val="ListBullet"/>
        <w:spacing w:after="40"/>
      </w:pPr>
      <w:r>
        <w:rPr>
          <w:sz w:val="21"/>
        </w:rPr>
        <w:t>Pass criterion: at least one verifier returns valid / deliverable.</w:t>
      </w:r>
    </w:p>
    <w:p>
      <w:pPr>
        <w:pStyle w:val="ListBullet"/>
        <w:spacing w:after="40"/>
      </w:pPr>
      <w:r>
        <w:rPr>
          <w:sz w:val="21"/>
        </w:rPr>
        <w:t>Fail action: escalate the contact to the next ranked recipient in the buyer's stack.</w:t>
      </w:r>
    </w:p>
    <w:p>
      <w:pPr>
        <w:pStyle w:val="ListBullet"/>
        <w:spacing w:after="40"/>
      </w:pPr>
      <w:r>
        <w:rPr>
          <w:sz w:val="21"/>
        </w:rPr>
        <w:t>Bounce-rate target: under 2% per mandate (industry-standard for cold outbound).</w:t>
      </w:r>
    </w:p>
    <w:p>
      <w:pPr>
        <w:spacing w:before="240" w:after="120"/>
        <w:pBdr>
          <w:bottom w:val="single" w:sz="6" w:space="1" w:color="1F3A5F"/>
        </w:pBdr>
      </w:pPr>
      <w:r>
        <w:rPr>
          <w:b/>
          <w:color w:val="1F3A5F"/>
          <w:sz w:val="32"/>
        </w:rPr>
        <w:t>7. Email Sequence Engine</w:t>
      </w:r>
    </w:p>
    <w:p>
      <w:pPr>
        <w:spacing w:before="120" w:after="40"/>
        <w:jc w:val="center"/>
      </w:pPr>
      <w:r>
        <w:drawing>
          <wp:inline xmlns:a="http://schemas.openxmlformats.org/drawingml/2006/main" xmlns:pic="http://schemas.openxmlformats.org/drawingml/2006/picture">
            <wp:extent cx="6035040" cy="4213737"/>
            <wp:docPr id="3" name="Picture 3"/>
            <wp:cNvGraphicFramePr>
              <a:graphicFrameLocks noChangeAspect="1"/>
            </wp:cNvGraphicFramePr>
            <a:graphic>
              <a:graphicData uri="http://schemas.openxmlformats.org/drawingml/2006/picture">
                <pic:pic>
                  <pic:nvPicPr>
                    <pic:cNvPr id="0" name="04_sequence.png"/>
                    <pic:cNvPicPr/>
                  </pic:nvPicPr>
                  <pic:blipFill>
                    <a:blip r:embed="rId11"/>
                    <a:stretch>
                      <a:fillRect/>
                    </a:stretch>
                  </pic:blipFill>
                  <pic:spPr>
                    <a:xfrm>
                      <a:off x="0" y="0"/>
                      <a:ext cx="6035040" cy="4213737"/>
                    </a:xfrm>
                    <a:prstGeom prst="rect"/>
                  </pic:spPr>
                </pic:pic>
              </a:graphicData>
            </a:graphic>
          </wp:inline>
        </w:drawing>
      </w:r>
    </w:p>
    <w:p>
      <w:pPr>
        <w:spacing w:after="160"/>
        <w:jc w:val="center"/>
      </w:pPr>
      <w:r>
        <w:rPr>
          <w:i/>
          <w:color w:val="4A5568"/>
          <w:sz w:val="18"/>
        </w:rPr>
        <w:t>Figure 4. Email cadence and multi-recipient staggering across up to 6 contacts.</w:t>
      </w:r>
    </w:p>
    <w:p>
      <w:pPr>
        <w:spacing w:before="240" w:after="120"/>
      </w:pPr>
      <w:r>
        <w:rPr>
          <w:b/>
          <w:color w:val="1F3A5F"/>
          <w:sz w:val="26"/>
        </w:rPr>
        <w:t>7.1 Templates</w:t>
      </w:r>
    </w:p>
    <w:p>
      <w:pPr>
        <w:pStyle w:val="ListBullet"/>
        <w:spacing w:after="40"/>
      </w:pPr>
      <w:r>
        <w:rPr>
          <w:sz w:val="21"/>
        </w:rPr>
        <w:t>Authored within the platform — library of reusable templates plus per-mandate copies that can be edited freely without affecting the library.</w:t>
      </w:r>
    </w:p>
    <w:p>
      <w:pPr>
        <w:pStyle w:val="ListBullet"/>
        <w:spacing w:after="40"/>
      </w:pPr>
      <w:r>
        <w:rPr>
          <w:sz w:val="21"/>
        </w:rPr>
        <w:t>User supplies subject line and body for each of E1–E4 per mandate.</w:t>
      </w:r>
    </w:p>
    <w:p>
      <w:pPr>
        <w:pStyle w:val="ListBullet"/>
        <w:spacing w:after="40"/>
      </w:pPr>
      <w:r>
        <w:rPr>
          <w:sz w:val="21"/>
        </w:rPr>
        <w:t>Personalisation is strictly mail-merge — no LLM-generated content.</w:t>
      </w:r>
    </w:p>
    <w:p>
      <w:pPr>
        <w:pStyle w:val="ListBullet"/>
        <w:spacing w:after="40"/>
      </w:pPr>
      <w:r>
        <w:rPr>
          <w:sz w:val="21"/>
        </w:rPr>
        <w:t>Every rendered email queued for advisor review and edit before send.</w:t>
      </w:r>
    </w:p>
    <w:p>
      <w:pPr>
        <w:spacing w:before="240" w:after="120"/>
      </w:pPr>
      <w:r>
        <w:rPr>
          <w:b/>
          <w:color w:val="1F3A5F"/>
          <w:sz w:val="26"/>
        </w:rPr>
        <w:t>7.2 Merge Fields</w:t>
      </w:r>
    </w:p>
    <w:tbl>
      <w:tblPr>
        <w:tblStyle w:val="TableGrid"/>
        <w:tblW w:type="auto" w:w="0"/>
        <w:jc w:val="left"/>
        <w:tblLook w:firstColumn="1" w:firstRow="1" w:lastColumn="0" w:lastRow="0" w:noHBand="0" w:noVBand="1" w:val="04A0"/>
      </w:tblPr>
      <w:tblGrid>
        <w:gridCol w:w="4873"/>
        <w:gridCol w:w="4873"/>
      </w:tblGrid>
      <w:tr>
        <w:tc>
          <w:tcPr>
            <w:tcW w:type="dxa" w:w="2880"/>
            <w:shd w:val="clear" w:color="auto" w:fill="1F3A5F"/>
            <w:vAlign w:val="center"/>
          </w:tcPr>
          <w:p>
            <w:pPr>
              <w:spacing w:before="40" w:after="40"/>
            </w:pPr>
            <w:r/>
            <w:r>
              <w:rPr>
                <w:b/>
                <w:color w:val="FFFFFF"/>
                <w:sz w:val="20"/>
              </w:rPr>
              <w:t>Field</w:t>
            </w:r>
          </w:p>
        </w:tc>
        <w:tc>
          <w:tcPr>
            <w:tcW w:type="dxa" w:w="6768"/>
            <w:shd w:val="clear" w:color="auto" w:fill="1F3A5F"/>
            <w:vAlign w:val="center"/>
          </w:tcPr>
          <w:p>
            <w:pPr>
              <w:spacing w:before="40" w:after="40"/>
            </w:pPr>
            <w:r/>
            <w:r>
              <w:rPr>
                <w:b/>
                <w:color w:val="FFFFFF"/>
                <w:sz w:val="20"/>
              </w:rPr>
              <w:t>Source</w:t>
            </w:r>
          </w:p>
        </w:tc>
      </w:tr>
      <w:tr>
        <w:tc>
          <w:tcPr>
            <w:tcW w:type="dxa" w:w="2880"/>
            <w:vAlign w:val="top"/>
          </w:tcPr>
          <w:p>
            <w:pPr>
              <w:spacing w:before="40" w:after="40"/>
            </w:pPr>
            <w:r/>
            <w:r>
              <w:rPr>
                <w:b/>
                <w:sz w:val="19"/>
              </w:rPr>
              <w:t>{first_name}</w:t>
            </w:r>
          </w:p>
        </w:tc>
        <w:tc>
          <w:tcPr>
            <w:tcW w:type="dxa" w:w="6768"/>
            <w:vAlign w:val="top"/>
          </w:tcPr>
          <w:p>
            <w:pPr>
              <w:spacing w:before="40" w:after="40"/>
            </w:pPr>
            <w:r/>
            <w:r>
              <w:rPr>
                <w:sz w:val="19"/>
              </w:rPr>
              <w:t>Contact</w:t>
            </w:r>
          </w:p>
        </w:tc>
      </w:tr>
      <w:tr>
        <w:tc>
          <w:tcPr>
            <w:tcW w:type="dxa" w:w="2880"/>
            <w:vAlign w:val="top"/>
            <w:shd w:val="clear" w:color="auto" w:fill="EDF2F7"/>
          </w:tcPr>
          <w:p>
            <w:pPr>
              <w:spacing w:before="40" w:after="40"/>
            </w:pPr>
            <w:r/>
            <w:r>
              <w:rPr>
                <w:b/>
                <w:sz w:val="19"/>
              </w:rPr>
              <w:t>{last_name}</w:t>
            </w:r>
          </w:p>
        </w:tc>
        <w:tc>
          <w:tcPr>
            <w:tcW w:type="dxa" w:w="6768"/>
            <w:vAlign w:val="top"/>
            <w:shd w:val="clear" w:color="auto" w:fill="EDF2F7"/>
          </w:tcPr>
          <w:p>
            <w:pPr>
              <w:spacing w:before="40" w:after="40"/>
            </w:pPr>
            <w:r/>
            <w:r>
              <w:rPr>
                <w:sz w:val="19"/>
              </w:rPr>
              <w:t>Contact</w:t>
            </w:r>
          </w:p>
        </w:tc>
      </w:tr>
      <w:tr>
        <w:tc>
          <w:tcPr>
            <w:tcW w:type="dxa" w:w="2880"/>
            <w:vAlign w:val="top"/>
          </w:tcPr>
          <w:p>
            <w:pPr>
              <w:spacing w:before="40" w:after="40"/>
            </w:pPr>
            <w:r/>
            <w:r>
              <w:rPr>
                <w:b/>
                <w:sz w:val="19"/>
              </w:rPr>
              <w:t>{title}</w:t>
            </w:r>
          </w:p>
        </w:tc>
        <w:tc>
          <w:tcPr>
            <w:tcW w:type="dxa" w:w="6768"/>
            <w:vAlign w:val="top"/>
          </w:tcPr>
          <w:p>
            <w:pPr>
              <w:spacing w:before="40" w:after="40"/>
            </w:pPr>
            <w:r/>
            <w:r>
              <w:rPr>
                <w:sz w:val="19"/>
              </w:rPr>
              <w:t>Contact (enriched)</w:t>
            </w:r>
          </w:p>
        </w:tc>
      </w:tr>
      <w:tr>
        <w:tc>
          <w:tcPr>
            <w:tcW w:type="dxa" w:w="2880"/>
            <w:vAlign w:val="top"/>
            <w:shd w:val="clear" w:color="auto" w:fill="EDF2F7"/>
          </w:tcPr>
          <w:p>
            <w:pPr>
              <w:spacing w:before="40" w:after="40"/>
            </w:pPr>
            <w:r/>
            <w:r>
              <w:rPr>
                <w:b/>
                <w:sz w:val="19"/>
              </w:rPr>
              <w:t>{buyer_company}</w:t>
            </w:r>
          </w:p>
        </w:tc>
        <w:tc>
          <w:tcPr>
            <w:tcW w:type="dxa" w:w="6768"/>
            <w:vAlign w:val="top"/>
            <w:shd w:val="clear" w:color="auto" w:fill="EDF2F7"/>
          </w:tcPr>
          <w:p>
            <w:pPr>
              <w:spacing w:before="40" w:after="40"/>
            </w:pPr>
            <w:r/>
            <w:r>
              <w:rPr>
                <w:sz w:val="19"/>
              </w:rPr>
              <w:t>Buyer</w:t>
            </w:r>
          </w:p>
        </w:tc>
      </w:tr>
      <w:tr>
        <w:tc>
          <w:tcPr>
            <w:tcW w:type="dxa" w:w="2880"/>
            <w:vAlign w:val="top"/>
          </w:tcPr>
          <w:p>
            <w:pPr>
              <w:spacing w:before="40" w:after="40"/>
            </w:pPr>
            <w:r/>
            <w:r>
              <w:rPr>
                <w:b/>
                <w:sz w:val="19"/>
              </w:rPr>
              <w:t>{buyer_country}</w:t>
            </w:r>
          </w:p>
        </w:tc>
        <w:tc>
          <w:tcPr>
            <w:tcW w:type="dxa" w:w="6768"/>
            <w:vAlign w:val="top"/>
          </w:tcPr>
          <w:p>
            <w:pPr>
              <w:spacing w:before="40" w:after="40"/>
            </w:pPr>
            <w:r/>
            <w:r>
              <w:rPr>
                <w:sz w:val="19"/>
              </w:rPr>
              <w:t>Buyer</w:t>
            </w:r>
          </w:p>
        </w:tc>
      </w:tr>
      <w:tr>
        <w:tc>
          <w:tcPr>
            <w:tcW w:type="dxa" w:w="2880"/>
            <w:vAlign w:val="top"/>
            <w:shd w:val="clear" w:color="auto" w:fill="EDF2F7"/>
          </w:tcPr>
          <w:p>
            <w:pPr>
              <w:spacing w:before="40" w:after="40"/>
            </w:pPr>
            <w:r/>
            <w:r>
              <w:rPr>
                <w:b/>
                <w:sz w:val="19"/>
              </w:rPr>
              <w:t>{buyer_website}</w:t>
            </w:r>
          </w:p>
        </w:tc>
        <w:tc>
          <w:tcPr>
            <w:tcW w:type="dxa" w:w="6768"/>
            <w:vAlign w:val="top"/>
            <w:shd w:val="clear" w:color="auto" w:fill="EDF2F7"/>
          </w:tcPr>
          <w:p>
            <w:pPr>
              <w:spacing w:before="40" w:after="40"/>
            </w:pPr>
            <w:r/>
            <w:r>
              <w:rPr>
                <w:sz w:val="19"/>
              </w:rPr>
              <w:t>Buyer</w:t>
            </w:r>
          </w:p>
        </w:tc>
      </w:tr>
      <w:tr>
        <w:tc>
          <w:tcPr>
            <w:tcW w:type="dxa" w:w="2880"/>
            <w:vAlign w:val="top"/>
          </w:tcPr>
          <w:p>
            <w:pPr>
              <w:spacing w:before="40" w:after="40"/>
            </w:pPr>
            <w:r/>
            <w:r>
              <w:rPr>
                <w:b/>
                <w:sz w:val="19"/>
              </w:rPr>
              <w:t>{mandate_name}</w:t>
            </w:r>
          </w:p>
        </w:tc>
        <w:tc>
          <w:tcPr>
            <w:tcW w:type="dxa" w:w="6768"/>
            <w:vAlign w:val="top"/>
          </w:tcPr>
          <w:p>
            <w:pPr>
              <w:spacing w:before="40" w:after="40"/>
            </w:pPr>
            <w:r/>
            <w:r>
              <w:rPr>
                <w:sz w:val="19"/>
              </w:rPr>
              <w:t>Mandate</w:t>
            </w:r>
          </w:p>
        </w:tc>
      </w:tr>
      <w:tr>
        <w:tc>
          <w:tcPr>
            <w:tcW w:type="dxa" w:w="2880"/>
            <w:vAlign w:val="top"/>
            <w:shd w:val="clear" w:color="auto" w:fill="EDF2F7"/>
          </w:tcPr>
          <w:p>
            <w:pPr>
              <w:spacing w:before="40" w:after="40"/>
            </w:pPr>
            <w:r/>
            <w:r>
              <w:rPr>
                <w:b/>
                <w:sz w:val="19"/>
              </w:rPr>
              <w:t>{sender_first_name}</w:t>
            </w:r>
          </w:p>
        </w:tc>
        <w:tc>
          <w:tcPr>
            <w:tcW w:type="dxa" w:w="6768"/>
            <w:vAlign w:val="top"/>
            <w:shd w:val="clear" w:color="auto" w:fill="EDF2F7"/>
          </w:tcPr>
          <w:p>
            <w:pPr>
              <w:spacing w:before="40" w:after="40"/>
            </w:pPr>
            <w:r/>
            <w:r>
              <w:rPr>
                <w:sz w:val="19"/>
              </w:rPr>
              <w:t>Sender</w:t>
            </w:r>
          </w:p>
        </w:tc>
      </w:tr>
      <w:tr>
        <w:tc>
          <w:tcPr>
            <w:tcW w:type="dxa" w:w="2880"/>
            <w:vAlign w:val="top"/>
          </w:tcPr>
          <w:p>
            <w:pPr>
              <w:spacing w:before="40" w:after="40"/>
            </w:pPr>
            <w:r/>
            <w:r>
              <w:rPr>
                <w:b/>
                <w:sz w:val="19"/>
              </w:rPr>
              <w:t>{sender_signature}</w:t>
            </w:r>
          </w:p>
        </w:tc>
        <w:tc>
          <w:tcPr>
            <w:tcW w:type="dxa" w:w="6768"/>
            <w:vAlign w:val="top"/>
          </w:tcPr>
          <w:p>
            <w:pPr>
              <w:spacing w:before="40" w:after="40"/>
            </w:pPr>
            <w:r/>
            <w:r>
              <w:rPr>
                <w:sz w:val="19"/>
              </w:rPr>
              <w:t>Mandate config</w:t>
            </w:r>
          </w:p>
        </w:tc>
      </w:tr>
      <w:tr>
        <w:tc>
          <w:tcPr>
            <w:tcW w:type="dxa" w:w="2880"/>
            <w:vAlign w:val="top"/>
            <w:shd w:val="clear" w:color="auto" w:fill="EDF2F7"/>
          </w:tcPr>
          <w:p>
            <w:pPr>
              <w:spacing w:before="40" w:after="40"/>
            </w:pPr>
            <w:r/>
            <w:r>
              <w:rPr>
                <w:b/>
                <w:sz w:val="19"/>
              </w:rPr>
              <w:t>{compliance_footer}</w:t>
            </w:r>
          </w:p>
        </w:tc>
        <w:tc>
          <w:tcPr>
            <w:tcW w:type="dxa" w:w="6768"/>
            <w:vAlign w:val="top"/>
            <w:shd w:val="clear" w:color="auto" w:fill="EDF2F7"/>
          </w:tcPr>
          <w:p>
            <w:pPr>
              <w:spacing w:before="40" w:after="40"/>
            </w:pPr>
            <w:r/>
            <w:r>
              <w:rPr>
                <w:sz w:val="19"/>
              </w:rPr>
              <w:t>System (togglable)</w:t>
            </w:r>
          </w:p>
        </w:tc>
      </w:tr>
    </w:tbl>
    <w:p>
      <w:pPr>
        <w:spacing w:after="40"/>
      </w:pPr>
    </w:p>
    <w:p>
      <w:pPr>
        <w:spacing w:before="0" w:after="80"/>
      </w:pPr>
      <w:r>
        <w:rPr>
          <w:b w:val="0"/>
          <w:i w:val="0"/>
          <w:sz w:val="21"/>
        </w:rPr>
        <w:t>Null merge field handling: safe fallback substitutions ('there' for missing first name, 'your team' for missing title, etc.). Rendered email is queued for advisor review where the fallback can be edited.</w:t>
      </w:r>
    </w:p>
    <w:p>
      <w:pPr>
        <w:spacing w:before="240" w:after="120"/>
      </w:pPr>
      <w:r>
        <w:rPr>
          <w:b/>
          <w:color w:val="1F3A5F"/>
          <w:sz w:val="26"/>
        </w:rPr>
        <w:t>7.3 Cadence</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016"/>
            <w:shd w:val="clear" w:color="auto" w:fill="1F3A5F"/>
            <w:vAlign w:val="center"/>
          </w:tcPr>
          <w:p>
            <w:pPr>
              <w:spacing w:before="40" w:after="40"/>
            </w:pPr>
            <w:r/>
            <w:r>
              <w:rPr>
                <w:b/>
                <w:color w:val="FFFFFF"/>
                <w:sz w:val="20"/>
              </w:rPr>
              <w:t>Step</w:t>
            </w:r>
          </w:p>
        </w:tc>
        <w:tc>
          <w:tcPr>
            <w:tcW w:type="dxa" w:w="1008"/>
            <w:shd w:val="clear" w:color="auto" w:fill="1F3A5F"/>
            <w:vAlign w:val="center"/>
          </w:tcPr>
          <w:p>
            <w:pPr>
              <w:spacing w:before="40" w:after="40"/>
            </w:pPr>
            <w:r/>
            <w:r>
              <w:rPr>
                <w:b/>
                <w:color w:val="FFFFFF"/>
                <w:sz w:val="20"/>
              </w:rPr>
              <w:t>Day</w:t>
            </w:r>
          </w:p>
        </w:tc>
        <w:tc>
          <w:tcPr>
            <w:tcW w:type="dxa" w:w="2880"/>
            <w:shd w:val="clear" w:color="auto" w:fill="1F3A5F"/>
            <w:vAlign w:val="center"/>
          </w:tcPr>
          <w:p>
            <w:pPr>
              <w:spacing w:before="40" w:after="40"/>
            </w:pPr>
            <w:r/>
            <w:r>
              <w:rPr>
                <w:b/>
                <w:color w:val="FFFFFF"/>
                <w:sz w:val="20"/>
              </w:rPr>
              <w:t>Purpose</w:t>
            </w:r>
          </w:p>
        </w:tc>
        <w:tc>
          <w:tcPr>
            <w:tcW w:type="dxa" w:w="3744"/>
            <w:shd w:val="clear" w:color="auto" w:fill="1F3A5F"/>
            <w:vAlign w:val="center"/>
          </w:tcPr>
          <w:p>
            <w:pPr>
              <w:spacing w:before="40" w:after="40"/>
            </w:pPr>
            <w:r/>
            <w:r>
              <w:rPr>
                <w:b/>
                <w:color w:val="FFFFFF"/>
                <w:sz w:val="20"/>
              </w:rPr>
              <w:t>Content</w:t>
            </w:r>
          </w:p>
        </w:tc>
      </w:tr>
      <w:tr>
        <w:tc>
          <w:tcPr>
            <w:tcW w:type="dxa" w:w="2016"/>
            <w:vAlign w:val="top"/>
          </w:tcPr>
          <w:p>
            <w:pPr>
              <w:spacing w:before="40" w:after="40"/>
            </w:pPr>
            <w:r/>
            <w:r>
              <w:rPr>
                <w:b/>
                <w:sz w:val="19"/>
              </w:rPr>
              <w:t>E1 — Initial Teaser</w:t>
            </w:r>
          </w:p>
        </w:tc>
        <w:tc>
          <w:tcPr>
            <w:tcW w:type="dxa" w:w="1008"/>
            <w:vAlign w:val="top"/>
          </w:tcPr>
          <w:p>
            <w:pPr>
              <w:spacing w:before="40" w:after="40"/>
            </w:pPr>
            <w:r/>
            <w:r>
              <w:rPr>
                <w:sz w:val="19"/>
              </w:rPr>
              <w:t>Day 0</w:t>
            </w:r>
          </w:p>
        </w:tc>
        <w:tc>
          <w:tcPr>
            <w:tcW w:type="dxa" w:w="2880"/>
            <w:vAlign w:val="top"/>
          </w:tcPr>
          <w:p>
            <w:pPr>
              <w:spacing w:before="40" w:after="40"/>
            </w:pPr>
            <w:r/>
            <w:r>
              <w:rPr>
                <w:sz w:val="19"/>
              </w:rPr>
              <w:t>Introduce opportunity and establish contact</w:t>
            </w:r>
          </w:p>
        </w:tc>
        <w:tc>
          <w:tcPr>
            <w:tcW w:type="dxa" w:w="3744"/>
            <w:vAlign w:val="top"/>
          </w:tcPr>
          <w:p>
            <w:pPr>
              <w:spacing w:before="40" w:after="40"/>
            </w:pPr>
            <w:r/>
            <w:r>
              <w:rPr>
                <w:sz w:val="19"/>
              </w:rPr>
              <w:t>Text-only invitation. NO tracked links. NO attachments. Asks if recipient would like to receive the Information Flyer and NDA.</w:t>
            </w:r>
          </w:p>
        </w:tc>
      </w:tr>
      <w:tr>
        <w:tc>
          <w:tcPr>
            <w:tcW w:type="dxa" w:w="2016"/>
            <w:vAlign w:val="top"/>
            <w:shd w:val="clear" w:color="auto" w:fill="EDF2F7"/>
          </w:tcPr>
          <w:p>
            <w:pPr>
              <w:spacing w:before="40" w:after="40"/>
            </w:pPr>
            <w:r/>
            <w:r>
              <w:rPr>
                <w:b/>
                <w:sz w:val="19"/>
              </w:rPr>
              <w:t>E2 — First Follow-Up</w:t>
            </w:r>
          </w:p>
        </w:tc>
        <w:tc>
          <w:tcPr>
            <w:tcW w:type="dxa" w:w="1008"/>
            <w:vAlign w:val="top"/>
            <w:shd w:val="clear" w:color="auto" w:fill="EDF2F7"/>
          </w:tcPr>
          <w:p>
            <w:pPr>
              <w:spacing w:before="40" w:after="40"/>
            </w:pPr>
            <w:r/>
            <w:r>
              <w:rPr>
                <w:sz w:val="19"/>
              </w:rPr>
              <w:t>Day 3</w:t>
            </w:r>
          </w:p>
        </w:tc>
        <w:tc>
          <w:tcPr>
            <w:tcW w:type="dxa" w:w="2880"/>
            <w:vAlign w:val="top"/>
            <w:shd w:val="clear" w:color="auto" w:fill="EDF2F7"/>
          </w:tcPr>
          <w:p>
            <w:pPr>
              <w:spacing w:before="40" w:after="40"/>
            </w:pPr>
            <w:r/>
            <w:r>
              <w:rPr>
                <w:sz w:val="19"/>
              </w:rPr>
              <w:t>Gently remind, restate value proposition</w:t>
            </w:r>
          </w:p>
        </w:tc>
        <w:tc>
          <w:tcPr>
            <w:tcW w:type="dxa" w:w="3744"/>
            <w:vAlign w:val="top"/>
            <w:shd w:val="clear" w:color="auto" w:fill="EDF2F7"/>
          </w:tcPr>
          <w:p>
            <w:pPr>
              <w:spacing w:before="40" w:after="40"/>
            </w:pPr>
            <w:r/>
            <w:r>
              <w:rPr>
                <w:sz w:val="19"/>
              </w:rPr>
              <w:t>Text-only follow-up.</w:t>
            </w:r>
          </w:p>
        </w:tc>
      </w:tr>
      <w:tr>
        <w:tc>
          <w:tcPr>
            <w:tcW w:type="dxa" w:w="2016"/>
            <w:vAlign w:val="top"/>
          </w:tcPr>
          <w:p>
            <w:pPr>
              <w:spacing w:before="40" w:after="40"/>
            </w:pPr>
            <w:r/>
            <w:r>
              <w:rPr>
                <w:b/>
                <w:sz w:val="19"/>
              </w:rPr>
              <w:t>E3 — Second Follow-Up</w:t>
            </w:r>
          </w:p>
        </w:tc>
        <w:tc>
          <w:tcPr>
            <w:tcW w:type="dxa" w:w="1008"/>
            <w:vAlign w:val="top"/>
          </w:tcPr>
          <w:p>
            <w:pPr>
              <w:spacing w:before="40" w:after="40"/>
            </w:pPr>
            <w:r/>
            <w:r>
              <w:rPr>
                <w:sz w:val="19"/>
              </w:rPr>
              <w:t>Day 7</w:t>
            </w:r>
          </w:p>
        </w:tc>
        <w:tc>
          <w:tcPr>
            <w:tcW w:type="dxa" w:w="2880"/>
            <w:vAlign w:val="top"/>
          </w:tcPr>
          <w:p>
            <w:pPr>
              <w:spacing w:before="40" w:after="40"/>
            </w:pPr>
            <w:r/>
            <w:r>
              <w:rPr>
                <w:sz w:val="19"/>
              </w:rPr>
              <w:t>New angle, prompt for response</w:t>
            </w:r>
          </w:p>
        </w:tc>
        <w:tc>
          <w:tcPr>
            <w:tcW w:type="dxa" w:w="3744"/>
            <w:vAlign w:val="top"/>
          </w:tcPr>
          <w:p>
            <w:pPr>
              <w:spacing w:before="40" w:after="40"/>
            </w:pPr>
            <w:r/>
            <w:r>
              <w:rPr>
                <w:sz w:val="19"/>
              </w:rPr>
              <w:t>Text-only with additional context.</w:t>
            </w:r>
          </w:p>
        </w:tc>
      </w:tr>
      <w:tr>
        <w:tc>
          <w:tcPr>
            <w:tcW w:type="dxa" w:w="2016"/>
            <w:vAlign w:val="top"/>
            <w:shd w:val="clear" w:color="auto" w:fill="EDF2F7"/>
          </w:tcPr>
          <w:p>
            <w:pPr>
              <w:spacing w:before="40" w:after="40"/>
            </w:pPr>
            <w:r/>
            <w:r>
              <w:rPr>
                <w:b/>
                <w:sz w:val="19"/>
              </w:rPr>
              <w:t>E4 — Third Follow-Up</w:t>
            </w:r>
          </w:p>
        </w:tc>
        <w:tc>
          <w:tcPr>
            <w:tcW w:type="dxa" w:w="1008"/>
            <w:vAlign w:val="top"/>
            <w:shd w:val="clear" w:color="auto" w:fill="EDF2F7"/>
          </w:tcPr>
          <w:p>
            <w:pPr>
              <w:spacing w:before="40" w:after="40"/>
            </w:pPr>
            <w:r/>
            <w:r>
              <w:rPr>
                <w:sz w:val="19"/>
              </w:rPr>
              <w:t>Day 14</w:t>
            </w:r>
          </w:p>
        </w:tc>
        <w:tc>
          <w:tcPr>
            <w:tcW w:type="dxa" w:w="2880"/>
            <w:vAlign w:val="top"/>
            <w:shd w:val="clear" w:color="auto" w:fill="EDF2F7"/>
          </w:tcPr>
          <w:p>
            <w:pPr>
              <w:spacing w:before="40" w:after="40"/>
            </w:pPr>
            <w:r/>
            <w:r>
              <w:rPr>
                <w:sz w:val="19"/>
              </w:rPr>
              <w:t>Final invitation, confirm interested parties exist</w:t>
            </w:r>
          </w:p>
        </w:tc>
        <w:tc>
          <w:tcPr>
            <w:tcW w:type="dxa" w:w="3744"/>
            <w:vAlign w:val="top"/>
            <w:shd w:val="clear" w:color="auto" w:fill="EDF2F7"/>
          </w:tcPr>
          <w:p>
            <w:pPr>
              <w:spacing w:before="40" w:after="40"/>
            </w:pPr>
            <w:r/>
            <w:r>
              <w:rPr>
                <w:sz w:val="19"/>
              </w:rPr>
              <w:t>Text-only final touch.</w:t>
            </w:r>
          </w:p>
        </w:tc>
      </w:tr>
      <w:tr>
        <w:tc>
          <w:tcPr>
            <w:tcW w:type="dxa" w:w="2016"/>
            <w:vAlign w:val="top"/>
          </w:tcPr>
          <w:p>
            <w:pPr>
              <w:spacing w:before="40" w:after="40"/>
            </w:pPr>
            <w:r/>
            <w:r>
              <w:rPr>
                <w:b/>
                <w:sz w:val="19"/>
              </w:rPr>
              <w:t>Exit</w:t>
            </w:r>
          </w:p>
        </w:tc>
        <w:tc>
          <w:tcPr>
            <w:tcW w:type="dxa" w:w="1008"/>
            <w:vAlign w:val="top"/>
          </w:tcPr>
          <w:p>
            <w:pPr>
              <w:spacing w:before="40" w:after="40"/>
            </w:pPr>
            <w:r/>
            <w:r>
              <w:rPr>
                <w:sz w:val="19"/>
              </w:rPr>
              <w:t>Day 14+</w:t>
            </w:r>
          </w:p>
        </w:tc>
        <w:tc>
          <w:tcPr>
            <w:tcW w:type="dxa" w:w="2880"/>
            <w:vAlign w:val="top"/>
          </w:tcPr>
          <w:p>
            <w:pPr>
              <w:spacing w:before="40" w:after="40"/>
            </w:pPr>
            <w:r/>
            <w:r>
              <w:rPr>
                <w:sz w:val="19"/>
              </w:rPr>
              <w:t>Hand off to manual phone outreach</w:t>
            </w:r>
          </w:p>
        </w:tc>
        <w:tc>
          <w:tcPr>
            <w:tcW w:type="dxa" w:w="3744"/>
            <w:vAlign w:val="top"/>
          </w:tcPr>
          <w:p>
            <w:pPr>
              <w:spacing w:before="40" w:after="40"/>
            </w:pPr>
            <w:r/>
            <w:r>
              <w:rPr>
                <w:sz w:val="19"/>
              </w:rPr>
              <w:t>Sequence ends; advisor calls using phone numbers on file.</w:t>
            </w:r>
          </w:p>
        </w:tc>
      </w:tr>
    </w:tbl>
    <w:p>
      <w:pPr>
        <w:spacing w:after="40"/>
      </w:pPr>
    </w:p>
    <w:p>
      <w:pPr>
        <w:spacing w:before="240" w:after="120"/>
      </w:pPr>
      <w:r>
        <w:rPr>
          <w:b/>
          <w:color w:val="1F3A5F"/>
          <w:sz w:val="26"/>
        </w:rPr>
        <w:t>7.4 Send Time</w:t>
      </w:r>
    </w:p>
    <w:p>
      <w:pPr>
        <w:pStyle w:val="ListBullet"/>
        <w:spacing w:after="40"/>
      </w:pPr>
      <w:r>
        <w:rPr>
          <w:sz w:val="21"/>
        </w:rPr>
        <w:t>Sends scheduled in the recipient's local time zone.</w:t>
      </w:r>
    </w:p>
    <w:p>
      <w:pPr>
        <w:pStyle w:val="ListBullet"/>
        <w:spacing w:after="40"/>
      </w:pPr>
      <w:r>
        <w:rPr>
          <w:sz w:val="21"/>
        </w:rPr>
        <w:t>Timezone fallback order: buyer HQ country → enrichment data → mandate default.</w:t>
      </w:r>
    </w:p>
    <w:p>
      <w:pPr>
        <w:pStyle w:val="ListBullet"/>
        <w:spacing w:after="40"/>
      </w:pPr>
      <w:r>
        <w:rPr>
          <w:sz w:val="21"/>
        </w:rPr>
        <w:t>Permitted send window: Tuesday–Thursday 09:00–16:00 recipient-local (configurable).</w:t>
      </w:r>
    </w:p>
    <w:p>
      <w:pPr>
        <w:spacing w:before="240" w:after="120"/>
      </w:pPr>
      <w:r>
        <w:rPr>
          <w:b/>
          <w:color w:val="1F3A5F"/>
          <w:sz w:val="26"/>
        </w:rPr>
        <w:t>7.5 Multi-Recipient Staggering</w:t>
      </w:r>
    </w:p>
    <w:p>
      <w:pPr>
        <w:pStyle w:val="ListBullet"/>
        <w:spacing w:after="40"/>
      </w:pPr>
      <w:r>
        <w:rPr>
          <w:sz w:val="21"/>
        </w:rPr>
        <w:t>Primary (rank 1) receives E1 at Day 0.</w:t>
      </w:r>
    </w:p>
    <w:p>
      <w:pPr>
        <w:pStyle w:val="ListBullet"/>
        <w:spacing w:after="40"/>
      </w:pPr>
      <w:r>
        <w:rPr>
          <w:sz w:val="21"/>
        </w:rPr>
        <w:t>Secondary (rank 2) starts +2 days after primary, if no response to primary's E1.</w:t>
      </w:r>
    </w:p>
    <w:p>
      <w:pPr>
        <w:pStyle w:val="ListBullet"/>
        <w:spacing w:after="40"/>
      </w:pPr>
      <w:r>
        <w:rPr>
          <w:sz w:val="21"/>
        </w:rPr>
        <w:t>Tertiary (rank 3) starts +2 days after secondary, if no response to secondary's E1.</w:t>
      </w:r>
    </w:p>
    <w:p>
      <w:pPr>
        <w:pStyle w:val="ListBullet"/>
        <w:spacing w:after="40"/>
      </w:pPr>
      <w:r>
        <w:rPr>
          <w:sz w:val="21"/>
        </w:rPr>
        <w:t>Quaternary (rank 4), Quinary (rank 5), Agent-discovered (rank 6) follow the same +2-day cascade.</w:t>
      </w:r>
    </w:p>
    <w:p>
      <w:pPr>
        <w:pStyle w:val="ListBullet"/>
        <w:spacing w:after="40"/>
      </w:pPr>
      <w:r>
        <w:rPr>
          <w:sz w:val="21"/>
        </w:rPr>
        <w:t>Each recipient runs their own independent 4-touch cadence from their start date.</w:t>
      </w:r>
    </w:p>
    <w:p>
      <w:pPr>
        <w:pStyle w:val="ListBullet"/>
        <w:spacing w:after="40"/>
      </w:pPr>
      <w:r>
        <w:rPr>
          <w:sz w:val="21"/>
        </w:rPr>
        <w:t>Maximum tail per buyer if no responses: ~24 days from Day 0 to last recipient's E4.</w:t>
      </w:r>
    </w:p>
    <w:p>
      <w:pPr>
        <w:spacing w:before="240" w:after="120"/>
      </w:pPr>
      <w:r>
        <w:rPr>
          <w:b/>
          <w:color w:val="1F3A5F"/>
          <w:sz w:val="26"/>
        </w:rPr>
        <w:t>7.6 Reply Handling</w:t>
      </w:r>
    </w:p>
    <w:p>
      <w:pPr>
        <w:pStyle w:val="ListBullet"/>
        <w:spacing w:after="40"/>
      </w:pPr>
      <w:r>
        <w:rPr>
          <w:sz w:val="21"/>
        </w:rPr>
        <w:t>Any reply detected on a sequence thread (regardless of sender match) auto-pauses that recipient's sequence immediately.</w:t>
      </w:r>
    </w:p>
    <w:p>
      <w:pPr>
        <w:pStyle w:val="ListBullet"/>
        <w:spacing w:after="40"/>
      </w:pPr>
      <w:r>
        <w:rPr>
          <w:sz w:val="21"/>
        </w:rPr>
        <w:t>Queued sends to downstream contacts at the same buyer are cancelled by default. User can re-enable with one click.</w:t>
      </w:r>
    </w:p>
    <w:p>
      <w:pPr>
        <w:pStyle w:val="ListBullet"/>
        <w:spacing w:after="40"/>
      </w:pPr>
      <w:r>
        <w:rPr>
          <w:sz w:val="21"/>
        </w:rPr>
        <w:t>Reply classified into one of 6 buckets — Positive Interest, Not Interested, Out-of-Office, Wrong Person, Referral, Asking a Question — with confidence score. User confirms or overrides.</w:t>
      </w:r>
    </w:p>
    <w:p>
      <w:pPr>
        <w:pStyle w:val="ListBullet"/>
        <w:spacing w:after="40"/>
      </w:pPr>
      <w:r>
        <w:rPr>
          <w:sz w:val="21"/>
        </w:rPr>
        <w:t>Returning to sequence offers three options: Send now / Resume on original cadence / Custom date.</w:t>
      </w:r>
    </w:p>
    <w:p>
      <w:pPr>
        <w:pStyle w:val="ListBullet"/>
        <w:spacing w:after="40"/>
      </w:pPr>
      <w:r>
        <w:rPr>
          <w:sz w:val="21"/>
        </w:rPr>
        <w:t>Out-of-Office auto-resumes on stated return date + 1 business day.</w:t>
      </w:r>
    </w:p>
    <w:p>
      <w:pPr>
        <w:pStyle w:val="ListBullet"/>
        <w:spacing w:after="40"/>
      </w:pPr>
      <w:r>
        <w:rPr>
          <w:sz w:val="21"/>
        </w:rPr>
        <w:t>Wrong Person prompts user to add the referred contact as a new recipient.</w:t>
      </w:r>
    </w:p>
    <w:p>
      <w:pPr>
        <w:pStyle w:val="ListBullet"/>
        <w:spacing w:after="40"/>
      </w:pPr>
      <w:r>
        <w:rPr>
          <w:sz w:val="21"/>
        </w:rPr>
        <w:t>Asking a Question routes to user for manual reply; agent never auto-replies.</w:t>
      </w:r>
    </w:p>
    <w:p>
      <w:pPr>
        <w:spacing w:before="240" w:after="120"/>
      </w:pPr>
      <w:r>
        <w:rPr>
          <w:b/>
          <w:color w:val="1F3A5F"/>
          <w:sz w:val="26"/>
        </w:rPr>
        <w:t>7.7 Bounce Handling</w:t>
      </w:r>
    </w:p>
    <w:p>
      <w:pPr>
        <w:pStyle w:val="ListBullet"/>
        <w:spacing w:after="40"/>
      </w:pPr>
      <w:r>
        <w:rPr>
          <w:sz w:val="21"/>
        </w:rPr>
        <w:t>Hard bounce — escalate to next ranked contact immediately. No retry on the failing address.</w:t>
      </w:r>
    </w:p>
    <w:p>
      <w:pPr>
        <w:pStyle w:val="ListBullet"/>
        <w:spacing w:after="40"/>
      </w:pPr>
      <w:r>
        <w:rPr>
          <w:sz w:val="21"/>
        </w:rPr>
        <w:t>Soft bounce — retry once after 24 hours, then escalate.</w:t>
      </w:r>
    </w:p>
    <w:p>
      <w:pPr>
        <w:pStyle w:val="ListBullet"/>
        <w:spacing w:after="40"/>
      </w:pPr>
      <w:r>
        <w:rPr>
          <w:sz w:val="21"/>
        </w:rPr>
        <w:t>IT-block auto-pause — 3 or more hard bounces at the same buyer triggers HITL pause warning across all contacts at that buyer.</w:t>
      </w:r>
    </w:p>
    <w:p>
      <w:pPr>
        <w:spacing w:before="240" w:after="120"/>
      </w:pPr>
      <w:r>
        <w:rPr>
          <w:b/>
          <w:color w:val="1F3A5F"/>
          <w:sz w:val="26"/>
        </w:rPr>
        <w:t>7.8 Opt-Out Handling</w:t>
      </w:r>
    </w:p>
    <w:p>
      <w:pPr>
        <w:pStyle w:val="ListBullet"/>
        <w:spacing w:after="40"/>
      </w:pPr>
      <w:r>
        <w:rPr>
          <w:sz w:val="21"/>
        </w:rPr>
        <w:t>Opt-out is permanent within the current mandate only. Not propagated globally.</w:t>
      </w:r>
    </w:p>
    <w:p>
      <w:pPr>
        <w:pStyle w:val="ListBullet"/>
        <w:spacing w:after="40"/>
      </w:pPr>
      <w:r>
        <w:rPr>
          <w:sz w:val="21"/>
        </w:rPr>
        <w:t>Multiple cancel points exist — explicit opt-out link in any email, manual flag in reply triage, dashboard Mark as Opted Out action.</w:t>
      </w:r>
    </w:p>
    <w:p>
      <w:pPr>
        <w:pStyle w:val="ListBullet"/>
        <w:spacing w:after="40"/>
      </w:pPr>
      <w:r>
        <w:rPr>
          <w:sz w:val="21"/>
        </w:rPr>
        <w:t>All contacts at the opted-out buyer are removed from this mandate's future sequencing.</w:t>
      </w:r>
    </w:p>
    <w:p>
      <w:r>
        <w:br w:type="page"/>
      </w:r>
    </w:p>
    <w:p>
      <w:pPr>
        <w:spacing w:before="240" w:after="120"/>
        <w:pBdr>
          <w:bottom w:val="single" w:sz="6" w:space="1" w:color="1F3A5F"/>
        </w:pBdr>
      </w:pPr>
      <w:r>
        <w:rPr>
          <w:b/>
          <w:color w:val="1F3A5F"/>
          <w:sz w:val="32"/>
        </w:rPr>
        <w:t>8. NDA Workflow</w:t>
      </w:r>
    </w:p>
    <w:p>
      <w:pPr>
        <w:spacing w:before="0" w:after="80"/>
      </w:pPr>
      <w:r>
        <w:rPr>
          <w:b w:val="0"/>
          <w:i w:val="0"/>
          <w:sz w:val="21"/>
        </w:rPr>
        <w:t>The NDA workflow supports three buyer signing paths: electronic via DocuSign, wet-ink scan upload, and Word-document redline. All paths converge at the diff-check stage; any text-level change versus the original template flags for legal review.</w:t>
      </w:r>
    </w:p>
    <w:p>
      <w:pPr>
        <w:spacing w:before="120" w:after="40"/>
        <w:jc w:val="center"/>
      </w:pPr>
      <w:r>
        <w:drawing>
          <wp:inline xmlns:a="http://schemas.openxmlformats.org/drawingml/2006/main" xmlns:pic="http://schemas.openxmlformats.org/drawingml/2006/picture">
            <wp:extent cx="6035040" cy="3646119"/>
            <wp:docPr id="4" name="Picture 4"/>
            <wp:cNvGraphicFramePr>
              <a:graphicFrameLocks noChangeAspect="1"/>
            </wp:cNvGraphicFramePr>
            <a:graphic>
              <a:graphicData uri="http://schemas.openxmlformats.org/drawingml/2006/picture">
                <pic:pic>
                  <pic:nvPicPr>
                    <pic:cNvPr id="0" name="05_nda.png"/>
                    <pic:cNvPicPr/>
                  </pic:nvPicPr>
                  <pic:blipFill>
                    <a:blip r:embed="rId12"/>
                    <a:stretch>
                      <a:fillRect/>
                    </a:stretch>
                  </pic:blipFill>
                  <pic:spPr>
                    <a:xfrm>
                      <a:off x="0" y="0"/>
                      <a:ext cx="6035040" cy="3646119"/>
                    </a:xfrm>
                    <a:prstGeom prst="rect"/>
                  </pic:spPr>
                </pic:pic>
              </a:graphicData>
            </a:graphic>
          </wp:inline>
        </w:drawing>
      </w:r>
    </w:p>
    <w:p>
      <w:pPr>
        <w:spacing w:after="160"/>
        <w:jc w:val="center"/>
      </w:pPr>
      <w:r>
        <w:rPr>
          <w:i/>
          <w:color w:val="4A5568"/>
          <w:sz w:val="18"/>
        </w:rPr>
        <w:t>Figure 5. NDA workflow with three buyer signing paths.</w:t>
      </w:r>
    </w:p>
    <w:p>
      <w:pPr>
        <w:spacing w:before="240" w:after="120"/>
      </w:pPr>
      <w:r>
        <w:rPr>
          <w:b/>
          <w:color w:val="1F3A5F"/>
          <w:sz w:val="26"/>
        </w:rPr>
        <w:t>8.1 NDA Send (post positive reply)</w:t>
      </w:r>
    </w:p>
    <w:p>
      <w:pPr>
        <w:pStyle w:val="ListBullet"/>
        <w:spacing w:after="40"/>
      </w:pPr>
      <w:r>
        <w:rPr>
          <w:sz w:val="21"/>
        </w:rPr>
        <w:t>On positive reply, advisor returns the contact to sequence; Email 2 sends with tracked links to the Flyer PDF and NDA PDF.</w:t>
      </w:r>
    </w:p>
    <w:p>
      <w:pPr>
        <w:pStyle w:val="ListBullet"/>
        <w:spacing w:after="40"/>
      </w:pPr>
      <w:r>
        <w:rPr>
          <w:sz w:val="21"/>
        </w:rPr>
        <w:t>When buyer signals readiness to sign, advisor triggers NDA send from the dashboard with one click.</w:t>
      </w:r>
    </w:p>
    <w:p>
      <w:pPr>
        <w:pStyle w:val="ListBullet"/>
        <w:spacing w:after="40"/>
      </w:pPr>
      <w:r>
        <w:rPr>
          <w:sz w:val="21"/>
        </w:rPr>
        <w:t>NDA send supports two modes: (a) send blank — buyer fills entity at signing; (b) pre-fill — user enters buyer entity name at send; platform substitutes {{buyer_entity_name}} token in the Word/PDF before envelope creation.</w:t>
      </w:r>
    </w:p>
    <w:p>
      <w:pPr>
        <w:spacing w:before="240" w:after="120"/>
      </w:pPr>
      <w:r>
        <w:rPr>
          <w:b/>
          <w:color w:val="1F3A5F"/>
          <w:sz w:val="26"/>
        </w:rPr>
        <w:t>8.2 Path A — Electronic (DocuSign)</w:t>
      </w:r>
    </w:p>
    <w:p>
      <w:pPr>
        <w:pStyle w:val="ListBullet"/>
        <w:spacing w:after="40"/>
      </w:pPr>
      <w:r>
        <w:rPr>
          <w:sz w:val="21"/>
        </w:rPr>
        <w:t>Buyer signs in DocuSign.</w:t>
      </w:r>
    </w:p>
    <w:p>
      <w:pPr>
        <w:pStyle w:val="ListBullet"/>
        <w:spacing w:after="40"/>
      </w:pPr>
      <w:r>
        <w:rPr>
          <w:sz w:val="21"/>
        </w:rPr>
        <w:t>Platform diffs the returned PDF against the original template.</w:t>
      </w:r>
    </w:p>
    <w:p>
      <w:pPr>
        <w:pStyle w:val="ListBullet"/>
        <w:spacing w:after="40"/>
      </w:pPr>
      <w:r>
        <w:rPr>
          <w:sz w:val="21"/>
        </w:rPr>
        <w:t>If clean → auto-route DocuSign envelope to per-mandate NDA Authoriser for countersign.</w:t>
      </w:r>
    </w:p>
    <w:p>
      <w:pPr>
        <w:pStyle w:val="ListBullet"/>
        <w:spacing w:after="40"/>
      </w:pPr>
      <w:r>
        <w:rPr>
          <w:sz w:val="21"/>
        </w:rPr>
        <w:t>If any change → legal review hand-off.</w:t>
      </w:r>
    </w:p>
    <w:p>
      <w:pPr>
        <w:spacing w:before="240" w:after="120"/>
      </w:pPr>
      <w:r>
        <w:rPr>
          <w:b/>
          <w:color w:val="1F3A5F"/>
          <w:sz w:val="26"/>
        </w:rPr>
        <w:t>8.3 Path B — Wet-Ink</w:t>
      </w:r>
    </w:p>
    <w:p>
      <w:pPr>
        <w:pStyle w:val="ListBullet"/>
        <w:spacing w:after="40"/>
      </w:pPr>
      <w:r>
        <w:rPr>
          <w:sz w:val="21"/>
        </w:rPr>
        <w:t>Buyer signs wet-ink and returns a scanned PDF.</w:t>
      </w:r>
    </w:p>
    <w:p>
      <w:pPr>
        <w:pStyle w:val="ListBullet"/>
        <w:spacing w:after="40"/>
      </w:pPr>
      <w:r>
        <w:rPr>
          <w:sz w:val="21"/>
        </w:rPr>
        <w:t>Advisor uploads the signed PDF to the buyer record in the platform.</w:t>
      </w:r>
    </w:p>
    <w:p>
      <w:pPr>
        <w:pStyle w:val="ListBullet"/>
        <w:spacing w:after="40"/>
      </w:pPr>
      <w:r>
        <w:rPr>
          <w:sz w:val="21"/>
        </w:rPr>
        <w:t>Platform diffs the uploaded PDF against the original template (OCR-assisted).</w:t>
      </w:r>
    </w:p>
    <w:p>
      <w:pPr>
        <w:pStyle w:val="ListBullet"/>
        <w:spacing w:after="40"/>
      </w:pPr>
      <w:r>
        <w:rPr>
          <w:sz w:val="21"/>
        </w:rPr>
        <w:t>If clean → platform creates a DocuSign envelope directly to the NDA Authoriser (buyer-side already complete).</w:t>
      </w:r>
    </w:p>
    <w:p>
      <w:pPr>
        <w:pStyle w:val="ListBullet"/>
        <w:spacing w:after="40"/>
      </w:pPr>
      <w:r>
        <w:rPr>
          <w:sz w:val="21"/>
        </w:rPr>
        <w:t>If any change detected → legal review hand-off.</w:t>
      </w:r>
    </w:p>
    <w:p>
      <w:pPr>
        <w:spacing w:before="240" w:after="120"/>
      </w:pPr>
      <w:r>
        <w:rPr>
          <w:b/>
          <w:color w:val="1F3A5F"/>
          <w:sz w:val="26"/>
        </w:rPr>
        <w:t>8.4 Path C — Word Redline (~30% of corporate buyers)</w:t>
      </w:r>
    </w:p>
    <w:p>
      <w:pPr>
        <w:pStyle w:val="ListBullet"/>
        <w:spacing w:after="40"/>
      </w:pPr>
      <w:r>
        <w:rPr>
          <w:sz w:val="21"/>
        </w:rPr>
        <w:t>Buyer explicitly requests modifications.</w:t>
      </w:r>
    </w:p>
    <w:p>
      <w:pPr>
        <w:pStyle w:val="ListBullet"/>
        <w:spacing w:after="40"/>
      </w:pPr>
      <w:r>
        <w:rPr>
          <w:sz w:val="21"/>
        </w:rPr>
        <w:t>Platform sends the NDA Word document.</w:t>
      </w:r>
    </w:p>
    <w:p>
      <w:pPr>
        <w:pStyle w:val="ListBullet"/>
        <w:spacing w:after="40"/>
      </w:pPr>
      <w:r>
        <w:rPr>
          <w:sz w:val="21"/>
        </w:rPr>
        <w:t>Buyer returns redlined Word doc; advisor uploads to platform.</w:t>
      </w:r>
    </w:p>
    <w:p>
      <w:pPr>
        <w:pStyle w:val="ListBullet"/>
        <w:spacing w:after="40"/>
      </w:pPr>
      <w:r>
        <w:rPr>
          <w:sz w:val="21"/>
        </w:rPr>
        <w:t>Platform diffs vs original template; ANY change flags for legal review (advisor hand-off).</w:t>
      </w:r>
    </w:p>
    <w:p>
      <w:pPr>
        <w:pStyle w:val="ListBullet"/>
        <w:spacing w:after="40"/>
      </w:pPr>
      <w:r>
        <w:rPr>
          <w:sz w:val="21"/>
        </w:rPr>
        <w:t>After legal review, advisor can re-trigger DocuSign with agreed final version.</w:t>
      </w:r>
    </w:p>
    <w:p>
      <w:pPr>
        <w:spacing w:before="240" w:after="120"/>
      </w:pPr>
      <w:r>
        <w:rPr>
          <w:b/>
          <w:color w:val="1F3A5F"/>
          <w:sz w:val="26"/>
        </w:rPr>
        <w:t>8.5 Diff Detection</w:t>
      </w:r>
    </w:p>
    <w:p>
      <w:pPr>
        <w:spacing w:before="0" w:after="80"/>
      </w:pPr>
      <w:r>
        <w:rPr>
          <w:b w:val="0"/>
          <w:i w:val="0"/>
          <w:sz w:val="21"/>
        </w:rPr>
        <w:t>Diff is performed at the text-level between the returned document and the original template stored in OneDrive. Any non-zero text delta — outside the explicitly tokenised entity-fill field — flags as material and routes for legal review. The diff output is presented as a side-by-side view in the dashboard for the advisor's reference.</w:t>
      </w:r>
    </w:p>
    <w:p>
      <w:pPr>
        <w:spacing w:before="240" w:after="120"/>
      </w:pPr>
      <w:r>
        <w:rPr>
          <w:b/>
          <w:color w:val="1F3A5F"/>
          <w:sz w:val="26"/>
        </w:rPr>
        <w:t>8.6 Countersign Routing</w:t>
      </w:r>
    </w:p>
    <w:p>
      <w:pPr>
        <w:pStyle w:val="ListBullet"/>
        <w:spacing w:after="40"/>
      </w:pPr>
      <w:r>
        <w:rPr>
          <w:sz w:val="21"/>
        </w:rPr>
        <w:t>Per-mandate NDA Authoriser: name and email captured at mandate setup.</w:t>
      </w:r>
    </w:p>
    <w:p>
      <w:pPr>
        <w:pStyle w:val="ListBullet"/>
        <w:spacing w:after="40"/>
      </w:pPr>
      <w:r>
        <w:rPr>
          <w:sz w:val="21"/>
        </w:rPr>
        <w:t>Per-buyer override available — useful when the standard authoriser is unavailable or has left the client.</w:t>
      </w:r>
    </w:p>
    <w:p>
      <w:pPr>
        <w:pStyle w:val="ListBullet"/>
        <w:spacing w:after="40"/>
      </w:pPr>
      <w:r>
        <w:rPr>
          <w:sz w:val="21"/>
        </w:rPr>
        <w:t>Once authoriser countersigns, buyer transitions to Ready state automatically.</w:t>
      </w:r>
    </w:p>
    <w:p>
      <w:pPr>
        <w:spacing w:before="240" w:after="120"/>
      </w:pPr>
      <w:r>
        <w:rPr>
          <w:b/>
          <w:color w:val="1F3A5F"/>
          <w:sz w:val="26"/>
        </w:rPr>
        <w:t>8.7 NDA Chase</w:t>
      </w:r>
    </w:p>
    <w:p>
      <w:pPr>
        <w:pStyle w:val="ListBullet"/>
        <w:spacing w:after="40"/>
      </w:pPr>
      <w:r>
        <w:rPr>
          <w:sz w:val="21"/>
        </w:rPr>
        <w:t>Passive dashboard alerts at Day 3 / Day 14 / Day 30 / Day 60 of inactivity on an outstanding envelope.</w:t>
      </w:r>
    </w:p>
    <w:p>
      <w:pPr>
        <w:pStyle w:val="ListBullet"/>
        <w:spacing w:after="40"/>
      </w:pPr>
      <w:r>
        <w:rPr>
          <w:sz w:val="21"/>
        </w:rPr>
        <w:t>One-click DocuSign API reminder action available from the alert (uses DocuSign's native reminder mechanism — no off-DocuSign chase emails).</w:t>
      </w:r>
    </w:p>
    <w:p>
      <w:pPr>
        <w:spacing w:before="240" w:after="120"/>
      </w:pPr>
      <w:r>
        <w:rPr>
          <w:b/>
          <w:color w:val="1F3A5F"/>
          <w:sz w:val="26"/>
        </w:rPr>
        <w:t>8.8 Document Management (OneDrive)</w:t>
      </w:r>
    </w:p>
    <w:p>
      <w:pPr>
        <w:pStyle w:val="ListBullet"/>
        <w:spacing w:after="40"/>
      </w:pPr>
      <w:r>
        <w:rPr>
          <w:sz w:val="21"/>
        </w:rPr>
        <w:t>Flyer PDF, NDA PDF, and NDA Word document referenced from a mandate-specific OneDrive folder.</w:t>
      </w:r>
    </w:p>
    <w:p>
      <w:pPr>
        <w:pStyle w:val="ListBullet"/>
        <w:spacing w:after="40"/>
      </w:pPr>
      <w:r>
        <w:rPr>
          <w:sz w:val="21"/>
        </w:rPr>
        <w:t>Documents may change mid-mandate. New versions apply only to contacts who have not yet received that document.</w:t>
      </w:r>
    </w:p>
    <w:p>
      <w:pPr>
        <w:pStyle w:val="ListBullet"/>
        <w:spacing w:after="40"/>
      </w:pPr>
      <w:r>
        <w:rPr>
          <w:sz w:val="21"/>
        </w:rPr>
        <w:t>Contacts who already received an earlier version are not re-sent.</w:t>
      </w:r>
    </w:p>
    <w:p>
      <w:pPr>
        <w:pStyle w:val="ListBullet"/>
        <w:spacing w:after="40"/>
      </w:pPr>
      <w:r>
        <w:rPr>
          <w:sz w:val="21"/>
        </w:rPr>
        <w:t>Dashboard displays the version sent to each contact.</w:t>
      </w:r>
    </w:p>
    <w:p>
      <w:pPr>
        <w:spacing w:before="240" w:after="120"/>
        <w:pBdr>
          <w:bottom w:val="single" w:sz="6" w:space="1" w:color="1F3A5F"/>
        </w:pBdr>
      </w:pPr>
      <w:r>
        <w:rPr>
          <w:b/>
          <w:color w:val="1F3A5F"/>
          <w:sz w:val="32"/>
        </w:rPr>
        <w:t>9. Direct-NDA Pathway</w:t>
      </w:r>
    </w:p>
    <w:p>
      <w:pPr>
        <w:spacing w:before="0" w:after="80"/>
      </w:pPr>
      <w:r>
        <w:rPr>
          <w:b w:val="0"/>
          <w:i w:val="0"/>
          <w:sz w:val="21"/>
        </w:rPr>
        <w:t>A shortcut entry path for buyers who already have an established relationship with the advisor and do not need the four-touch outreach sequence. Buyer skips Emails 1–4 entirely and goes straight to NDA execution.</w:t>
      </w:r>
    </w:p>
    <w:p>
      <w:pPr>
        <w:spacing w:before="240" w:after="120"/>
      </w:pPr>
      <w:r>
        <w:rPr>
          <w:b/>
          <w:color w:val="1F3A5F"/>
          <w:sz w:val="26"/>
        </w:rPr>
        <w:t>9.1 Trigger Locations</w:t>
      </w:r>
    </w:p>
    <w:p>
      <w:pPr>
        <w:pStyle w:val="ListBullet"/>
        <w:spacing w:after="40"/>
      </w:pPr>
      <w:r>
        <w:rPr>
          <w:sz w:val="21"/>
        </w:rPr>
        <w:t>Per-mandate dashboard — add an ad-hoc buyer to this mandate and send NDA immediately.</w:t>
      </w:r>
    </w:p>
    <w:p>
      <w:pPr>
        <w:pStyle w:val="ListBullet"/>
        <w:spacing w:after="40"/>
      </w:pPr>
      <w:r>
        <w:rPr>
          <w:sz w:val="21"/>
        </w:rPr>
        <w:t>Standalone tool — send NDA without binding to a specific mandate (for cases outside any active mandate).</w:t>
      </w:r>
    </w:p>
    <w:p>
      <w:pPr>
        <w:spacing w:before="240" w:after="120"/>
      </w:pPr>
      <w:r>
        <w:rPr>
          <w:b/>
          <w:color w:val="1F3A5F"/>
          <w:sz w:val="26"/>
        </w:rPr>
        <w:t>9.2 Minimum Data</w:t>
      </w:r>
    </w:p>
    <w:p>
      <w:pPr>
        <w:pStyle w:val="ListBullet"/>
        <w:spacing w:after="40"/>
      </w:pPr>
      <w:r>
        <w:rPr>
          <w:sz w:val="21"/>
        </w:rPr>
        <w:t>Contact full name (required).</w:t>
      </w:r>
    </w:p>
    <w:p>
      <w:pPr>
        <w:pStyle w:val="ListBullet"/>
        <w:spacing w:after="40"/>
      </w:pPr>
      <w:r>
        <w:rPr>
          <w:sz w:val="21"/>
        </w:rPr>
        <w:t>Verified email (required, runs through verification waterfall).</w:t>
      </w:r>
    </w:p>
    <w:p>
      <w:pPr>
        <w:pStyle w:val="ListBullet"/>
        <w:spacing w:after="40"/>
      </w:pPr>
      <w:r>
        <w:rPr>
          <w:sz w:val="21"/>
        </w:rPr>
        <w:t>Buyer entity name (optional; can be typed in by user if known).</w:t>
      </w:r>
    </w:p>
    <w:p>
      <w:pPr>
        <w:spacing w:before="240" w:after="120"/>
      </w:pPr>
      <w:r>
        <w:rPr>
          <w:b/>
          <w:color w:val="1F3A5F"/>
          <w:sz w:val="26"/>
        </w:rPr>
        <w:t>9.3 Dashboard Treatment</w:t>
      </w:r>
    </w:p>
    <w:p>
      <w:pPr>
        <w:pStyle w:val="ListBullet"/>
        <w:spacing w:after="40"/>
      </w:pPr>
      <w:r>
        <w:rPr>
          <w:sz w:val="21"/>
        </w:rPr>
        <w:t>Buyer appears in the mandate dashboard with a visual marker indicating direct-NDA entry.</w:t>
      </w:r>
    </w:p>
    <w:p>
      <w:pPr>
        <w:pStyle w:val="ListBullet"/>
        <w:spacing w:after="40"/>
      </w:pPr>
      <w:r>
        <w:rPr>
          <w:sz w:val="21"/>
        </w:rPr>
        <w:t>Full NDA workflow applies as per Section 8 — three paths (electronic / wet-ink / Word), diff detection, countersign routing, stale alerts.</w:t>
      </w:r>
    </w:p>
    <w:p>
      <w:r>
        <w:br w:type="page"/>
      </w:r>
    </w:p>
    <w:p>
      <w:pPr>
        <w:spacing w:before="240" w:after="120"/>
        <w:pBdr>
          <w:bottom w:val="single" w:sz="6" w:space="1" w:color="1F3A5F"/>
        </w:pBdr>
      </w:pPr>
      <w:r>
        <w:rPr>
          <w:b/>
          <w:color w:val="1F3A5F"/>
          <w:sz w:val="32"/>
        </w:rPr>
        <w:t>10. Buyer Lifecycle</w:t>
      </w:r>
    </w:p>
    <w:p>
      <w:pPr>
        <w:spacing w:before="120" w:after="40"/>
        <w:jc w:val="center"/>
      </w:pPr>
      <w:r>
        <w:drawing>
          <wp:inline xmlns:a="http://schemas.openxmlformats.org/drawingml/2006/main" xmlns:pic="http://schemas.openxmlformats.org/drawingml/2006/picture">
            <wp:extent cx="6035040" cy="3062716"/>
            <wp:docPr id="5" name="Picture 5"/>
            <wp:cNvGraphicFramePr>
              <a:graphicFrameLocks noChangeAspect="1"/>
            </wp:cNvGraphicFramePr>
            <a:graphic>
              <a:graphicData uri="http://schemas.openxmlformats.org/drawingml/2006/picture">
                <pic:pic>
                  <pic:nvPicPr>
                    <pic:cNvPr id="0" name="02_buyer_lifecycle.png"/>
                    <pic:cNvPicPr/>
                  </pic:nvPicPr>
                  <pic:blipFill>
                    <a:blip r:embed="rId13"/>
                    <a:stretch>
                      <a:fillRect/>
                    </a:stretch>
                  </pic:blipFill>
                  <pic:spPr>
                    <a:xfrm>
                      <a:off x="0" y="0"/>
                      <a:ext cx="6035040" cy="3062716"/>
                    </a:xfrm>
                    <a:prstGeom prst="rect"/>
                  </pic:spPr>
                </pic:pic>
              </a:graphicData>
            </a:graphic>
          </wp:inline>
        </w:drawing>
      </w:r>
    </w:p>
    <w:p>
      <w:pPr>
        <w:spacing w:after="160"/>
        <w:jc w:val="center"/>
      </w:pPr>
      <w:r>
        <w:rPr>
          <w:i/>
          <w:color w:val="4A5568"/>
          <w:sz w:val="18"/>
        </w:rPr>
        <w:t>Figure 2. End-to-end buyer lifecycle state machine.</w:t>
      </w:r>
    </w:p>
    <w:tbl>
      <w:tblPr>
        <w:tblStyle w:val="TableGrid"/>
        <w:tblW w:type="auto" w:w="0"/>
        <w:jc w:val="left"/>
        <w:tblLook w:firstColumn="1" w:firstRow="1" w:lastColumn="0" w:lastRow="0" w:noHBand="0" w:noVBand="1" w:val="04A0"/>
      </w:tblPr>
      <w:tblGrid>
        <w:gridCol w:w="3249"/>
        <w:gridCol w:w="3249"/>
        <w:gridCol w:w="3249"/>
      </w:tblGrid>
      <w:tr>
        <w:tc>
          <w:tcPr>
            <w:tcW w:type="dxa" w:w="2304"/>
            <w:shd w:val="clear" w:color="auto" w:fill="1F3A5F"/>
            <w:vAlign w:val="center"/>
          </w:tcPr>
          <w:p>
            <w:pPr>
              <w:spacing w:before="40" w:after="40"/>
            </w:pPr>
            <w:r/>
            <w:r>
              <w:rPr>
                <w:b/>
                <w:color w:val="FFFFFF"/>
                <w:sz w:val="20"/>
              </w:rPr>
              <w:t>State</w:t>
            </w:r>
          </w:p>
        </w:tc>
        <w:tc>
          <w:tcPr>
            <w:tcW w:type="dxa" w:w="3744"/>
            <w:shd w:val="clear" w:color="auto" w:fill="1F3A5F"/>
            <w:vAlign w:val="center"/>
          </w:tcPr>
          <w:p>
            <w:pPr>
              <w:spacing w:before="40" w:after="40"/>
            </w:pPr>
            <w:r/>
            <w:r>
              <w:rPr>
                <w:b/>
                <w:color w:val="FFFFFF"/>
                <w:sz w:val="20"/>
              </w:rPr>
              <w:t>Entry trigger</w:t>
            </w:r>
          </w:p>
        </w:tc>
        <w:tc>
          <w:tcPr>
            <w:tcW w:type="dxa" w:w="3744"/>
            <w:shd w:val="clear" w:color="auto" w:fill="1F3A5F"/>
            <w:vAlign w:val="center"/>
          </w:tcPr>
          <w:p>
            <w:pPr>
              <w:spacing w:before="40" w:after="40"/>
            </w:pPr>
            <w:r/>
            <w:r>
              <w:rPr>
                <w:b/>
                <w:color w:val="FFFFFF"/>
                <w:sz w:val="20"/>
              </w:rPr>
              <w:t>Exit trigger</w:t>
            </w:r>
          </w:p>
        </w:tc>
      </w:tr>
      <w:tr>
        <w:tc>
          <w:tcPr>
            <w:tcW w:type="dxa" w:w="2304"/>
            <w:vAlign w:val="top"/>
          </w:tcPr>
          <w:p>
            <w:pPr>
              <w:spacing w:before="40" w:after="40"/>
            </w:pPr>
            <w:r/>
            <w:r>
              <w:rPr>
                <w:b/>
                <w:sz w:val="19"/>
              </w:rPr>
              <w:t>Identified</w:t>
            </w:r>
          </w:p>
        </w:tc>
        <w:tc>
          <w:tcPr>
            <w:tcW w:type="dxa" w:w="3744"/>
            <w:vAlign w:val="top"/>
          </w:tcPr>
          <w:p>
            <w:pPr>
              <w:spacing w:before="40" w:after="40"/>
            </w:pPr>
            <w:r/>
            <w:r>
              <w:rPr>
                <w:sz w:val="19"/>
              </w:rPr>
              <w:t>Seed list ingested + cross-referenced</w:t>
            </w:r>
          </w:p>
        </w:tc>
        <w:tc>
          <w:tcPr>
            <w:tcW w:type="dxa" w:w="3744"/>
            <w:vAlign w:val="top"/>
          </w:tcPr>
          <w:p>
            <w:pPr>
              <w:spacing w:before="40" w:after="40"/>
            </w:pPr>
            <w:r/>
            <w:r>
              <w:rPr>
                <w:sz w:val="19"/>
              </w:rPr>
              <w:t>Enrichment waterfall begins</w:t>
            </w:r>
          </w:p>
        </w:tc>
      </w:tr>
      <w:tr>
        <w:tc>
          <w:tcPr>
            <w:tcW w:type="dxa" w:w="2304"/>
            <w:vAlign w:val="top"/>
            <w:shd w:val="clear" w:color="auto" w:fill="EDF2F7"/>
          </w:tcPr>
          <w:p>
            <w:pPr>
              <w:spacing w:before="40" w:after="40"/>
            </w:pPr>
            <w:r/>
            <w:r>
              <w:rPr>
                <w:b/>
                <w:sz w:val="19"/>
              </w:rPr>
              <w:t>Enriched</w:t>
            </w:r>
          </w:p>
        </w:tc>
        <w:tc>
          <w:tcPr>
            <w:tcW w:type="dxa" w:w="3744"/>
            <w:vAlign w:val="top"/>
            <w:shd w:val="clear" w:color="auto" w:fill="EDF2F7"/>
          </w:tcPr>
          <w:p>
            <w:pPr>
              <w:spacing w:before="40" w:after="40"/>
            </w:pPr>
            <w:r/>
            <w:r>
              <w:rPr>
                <w:sz w:val="19"/>
              </w:rPr>
              <w:t>Waterfall complete (incl. optional Clay)</w:t>
            </w:r>
          </w:p>
        </w:tc>
        <w:tc>
          <w:tcPr>
            <w:tcW w:type="dxa" w:w="3744"/>
            <w:vAlign w:val="top"/>
            <w:shd w:val="clear" w:color="auto" w:fill="EDF2F7"/>
          </w:tcPr>
          <w:p>
            <w:pPr>
              <w:spacing w:before="40" w:after="40"/>
            </w:pPr>
            <w:r/>
            <w:r>
              <w:rPr>
                <w:sz w:val="19"/>
              </w:rPr>
              <w:t>Email verifier runs</w:t>
            </w:r>
          </w:p>
        </w:tc>
      </w:tr>
      <w:tr>
        <w:tc>
          <w:tcPr>
            <w:tcW w:type="dxa" w:w="2304"/>
            <w:vAlign w:val="top"/>
          </w:tcPr>
          <w:p>
            <w:pPr>
              <w:spacing w:before="40" w:after="40"/>
            </w:pPr>
            <w:r/>
            <w:r>
              <w:rPr>
                <w:b/>
                <w:sz w:val="19"/>
              </w:rPr>
              <w:t>Verified</w:t>
            </w:r>
          </w:p>
        </w:tc>
        <w:tc>
          <w:tcPr>
            <w:tcW w:type="dxa" w:w="3744"/>
            <w:vAlign w:val="top"/>
          </w:tcPr>
          <w:p>
            <w:pPr>
              <w:spacing w:before="40" w:after="40"/>
            </w:pPr>
            <w:r/>
            <w:r>
              <w:rPr>
                <w:sz w:val="19"/>
              </w:rPr>
              <w:t>At least one email passes verification waterfall</w:t>
            </w:r>
          </w:p>
        </w:tc>
        <w:tc>
          <w:tcPr>
            <w:tcW w:type="dxa" w:w="3744"/>
            <w:vAlign w:val="top"/>
          </w:tcPr>
          <w:p>
            <w:pPr>
              <w:spacing w:before="40" w:after="40"/>
            </w:pPr>
            <w:r/>
            <w:r>
              <w:rPr>
                <w:sz w:val="19"/>
              </w:rPr>
              <w:t>First send queued</w:t>
            </w:r>
          </w:p>
        </w:tc>
      </w:tr>
      <w:tr>
        <w:tc>
          <w:tcPr>
            <w:tcW w:type="dxa" w:w="2304"/>
            <w:vAlign w:val="top"/>
            <w:shd w:val="clear" w:color="auto" w:fill="EDF2F7"/>
          </w:tcPr>
          <w:p>
            <w:pPr>
              <w:spacing w:before="40" w:after="40"/>
            </w:pPr>
            <w:r/>
            <w:r>
              <w:rPr>
                <w:b/>
                <w:sz w:val="19"/>
              </w:rPr>
              <w:t>In Sequence</w:t>
            </w:r>
          </w:p>
        </w:tc>
        <w:tc>
          <w:tcPr>
            <w:tcW w:type="dxa" w:w="3744"/>
            <w:vAlign w:val="top"/>
            <w:shd w:val="clear" w:color="auto" w:fill="EDF2F7"/>
          </w:tcPr>
          <w:p>
            <w:pPr>
              <w:spacing w:before="40" w:after="40"/>
            </w:pPr>
            <w:r/>
            <w:r>
              <w:rPr>
                <w:sz w:val="19"/>
              </w:rPr>
              <w:t>E1 sent</w:t>
            </w:r>
          </w:p>
        </w:tc>
        <w:tc>
          <w:tcPr>
            <w:tcW w:type="dxa" w:w="3744"/>
            <w:vAlign w:val="top"/>
            <w:shd w:val="clear" w:color="auto" w:fill="EDF2F7"/>
          </w:tcPr>
          <w:p>
            <w:pPr>
              <w:spacing w:before="40" w:after="40"/>
            </w:pPr>
            <w:r/>
            <w:r>
              <w:rPr>
                <w:sz w:val="19"/>
              </w:rPr>
              <w:t>Reply / bounce / opt-out / cadence exhausted</w:t>
            </w:r>
          </w:p>
        </w:tc>
      </w:tr>
      <w:tr>
        <w:tc>
          <w:tcPr>
            <w:tcW w:type="dxa" w:w="2304"/>
            <w:vAlign w:val="top"/>
          </w:tcPr>
          <w:p>
            <w:pPr>
              <w:spacing w:before="40" w:after="40"/>
            </w:pPr>
            <w:r/>
            <w:r>
              <w:rPr>
                <w:b/>
                <w:sz w:val="19"/>
              </w:rPr>
              <w:t>Replied (paused)</w:t>
            </w:r>
          </w:p>
        </w:tc>
        <w:tc>
          <w:tcPr>
            <w:tcW w:type="dxa" w:w="3744"/>
            <w:vAlign w:val="top"/>
          </w:tcPr>
          <w:p>
            <w:pPr>
              <w:spacing w:before="40" w:after="40"/>
            </w:pPr>
            <w:r/>
            <w:r>
              <w:rPr>
                <w:sz w:val="19"/>
              </w:rPr>
              <w:t>Reply detected on sequence thread</w:t>
            </w:r>
          </w:p>
        </w:tc>
        <w:tc>
          <w:tcPr>
            <w:tcW w:type="dxa" w:w="3744"/>
            <w:vAlign w:val="top"/>
          </w:tcPr>
          <w:p>
            <w:pPr>
              <w:spacing w:before="40" w:after="40"/>
            </w:pPr>
            <w:r/>
            <w:r>
              <w:rPr>
                <w:sz w:val="19"/>
              </w:rPr>
              <w:t>Advisor returns to sequence or marks terminal</w:t>
            </w:r>
          </w:p>
        </w:tc>
      </w:tr>
      <w:tr>
        <w:tc>
          <w:tcPr>
            <w:tcW w:type="dxa" w:w="2304"/>
            <w:vAlign w:val="top"/>
            <w:shd w:val="clear" w:color="auto" w:fill="EDF2F7"/>
          </w:tcPr>
          <w:p>
            <w:pPr>
              <w:spacing w:before="40" w:after="40"/>
            </w:pPr>
            <w:r/>
            <w:r>
              <w:rPr>
                <w:b/>
                <w:sz w:val="19"/>
              </w:rPr>
              <w:t>Flyer / NDA Sent</w:t>
            </w:r>
          </w:p>
        </w:tc>
        <w:tc>
          <w:tcPr>
            <w:tcW w:type="dxa" w:w="3744"/>
            <w:vAlign w:val="top"/>
            <w:shd w:val="clear" w:color="auto" w:fill="EDF2F7"/>
          </w:tcPr>
          <w:p>
            <w:pPr>
              <w:spacing w:before="40" w:after="40"/>
            </w:pPr>
            <w:r/>
            <w:r>
              <w:rPr>
                <w:sz w:val="19"/>
              </w:rPr>
              <w:t>Email 2 with tracked links delivered</w:t>
            </w:r>
          </w:p>
        </w:tc>
        <w:tc>
          <w:tcPr>
            <w:tcW w:type="dxa" w:w="3744"/>
            <w:vAlign w:val="top"/>
            <w:shd w:val="clear" w:color="auto" w:fill="EDF2F7"/>
          </w:tcPr>
          <w:p>
            <w:pPr>
              <w:spacing w:before="40" w:after="40"/>
            </w:pPr>
            <w:r/>
            <w:r>
              <w:rPr>
                <w:sz w:val="19"/>
              </w:rPr>
              <w:t>Buyer signs (or requests Word, or sends wet-ink)</w:t>
            </w:r>
          </w:p>
        </w:tc>
      </w:tr>
      <w:tr>
        <w:tc>
          <w:tcPr>
            <w:tcW w:type="dxa" w:w="2304"/>
            <w:vAlign w:val="top"/>
          </w:tcPr>
          <w:p>
            <w:pPr>
              <w:spacing w:before="40" w:after="40"/>
            </w:pPr>
            <w:r/>
            <w:r>
              <w:rPr>
                <w:b/>
                <w:sz w:val="19"/>
              </w:rPr>
              <w:t>NDA Signed (buyer)</w:t>
            </w:r>
          </w:p>
        </w:tc>
        <w:tc>
          <w:tcPr>
            <w:tcW w:type="dxa" w:w="3744"/>
            <w:vAlign w:val="top"/>
          </w:tcPr>
          <w:p>
            <w:pPr>
              <w:spacing w:before="40" w:after="40"/>
            </w:pPr>
            <w:r/>
            <w:r>
              <w:rPr>
                <w:sz w:val="19"/>
              </w:rPr>
              <w:t>DocuSign or wet-ink upload completed</w:t>
            </w:r>
          </w:p>
        </w:tc>
        <w:tc>
          <w:tcPr>
            <w:tcW w:type="dxa" w:w="3744"/>
            <w:vAlign w:val="top"/>
          </w:tcPr>
          <w:p>
            <w:pPr>
              <w:spacing w:before="40" w:after="40"/>
            </w:pPr>
            <w:r/>
            <w:r>
              <w:rPr>
                <w:sz w:val="19"/>
              </w:rPr>
              <w:t>Auto-route to NDA Authoriser</w:t>
            </w:r>
          </w:p>
        </w:tc>
      </w:tr>
      <w:tr>
        <w:tc>
          <w:tcPr>
            <w:tcW w:type="dxa" w:w="2304"/>
            <w:vAlign w:val="top"/>
            <w:shd w:val="clear" w:color="auto" w:fill="EDF2F7"/>
          </w:tcPr>
          <w:p>
            <w:pPr>
              <w:spacing w:before="40" w:after="40"/>
            </w:pPr>
            <w:r/>
            <w:r>
              <w:rPr>
                <w:b/>
                <w:sz w:val="19"/>
              </w:rPr>
              <w:t>Ready</w:t>
            </w:r>
          </w:p>
        </w:tc>
        <w:tc>
          <w:tcPr>
            <w:tcW w:type="dxa" w:w="3744"/>
            <w:vAlign w:val="top"/>
            <w:shd w:val="clear" w:color="auto" w:fill="EDF2F7"/>
          </w:tcPr>
          <w:p>
            <w:pPr>
              <w:spacing w:before="40" w:after="40"/>
            </w:pPr>
            <w:r/>
            <w:r>
              <w:rPr>
                <w:sz w:val="19"/>
              </w:rPr>
              <w:t>Authoriser countersigns</w:t>
            </w:r>
          </w:p>
        </w:tc>
        <w:tc>
          <w:tcPr>
            <w:tcW w:type="dxa" w:w="3744"/>
            <w:vAlign w:val="top"/>
            <w:shd w:val="clear" w:color="auto" w:fill="EDF2F7"/>
          </w:tcPr>
          <w:p>
            <w:pPr>
              <w:spacing w:before="40" w:after="40"/>
            </w:pPr>
            <w:r/>
            <w:r>
              <w:rPr>
                <w:sz w:val="19"/>
              </w:rPr>
              <w:t>Manual meeting request trigger</w:t>
            </w:r>
          </w:p>
        </w:tc>
      </w:tr>
      <w:tr>
        <w:tc>
          <w:tcPr>
            <w:tcW w:type="dxa" w:w="2304"/>
            <w:vAlign w:val="top"/>
          </w:tcPr>
          <w:p>
            <w:pPr>
              <w:spacing w:before="40" w:after="40"/>
            </w:pPr>
            <w:r/>
            <w:r>
              <w:rPr>
                <w:b/>
                <w:sz w:val="19"/>
              </w:rPr>
              <w:t>Meeting Requested</w:t>
            </w:r>
          </w:p>
        </w:tc>
        <w:tc>
          <w:tcPr>
            <w:tcW w:type="dxa" w:w="3744"/>
            <w:vAlign w:val="top"/>
          </w:tcPr>
          <w:p>
            <w:pPr>
              <w:spacing w:before="40" w:after="40"/>
            </w:pPr>
            <w:r/>
            <w:r>
              <w:rPr>
                <w:sz w:val="19"/>
              </w:rPr>
              <w:t>Advisor manually sends meeting email</w:t>
            </w:r>
          </w:p>
        </w:tc>
        <w:tc>
          <w:tcPr>
            <w:tcW w:type="dxa" w:w="3744"/>
            <w:vAlign w:val="top"/>
          </w:tcPr>
          <w:p>
            <w:pPr>
              <w:spacing w:before="40" w:after="40"/>
            </w:pPr>
            <w:r/>
            <w:r>
              <w:rPr>
                <w:sz w:val="19"/>
              </w:rPr>
              <w:t>Buyer books or sequence ends</w:t>
            </w:r>
          </w:p>
        </w:tc>
      </w:tr>
      <w:tr>
        <w:tc>
          <w:tcPr>
            <w:tcW w:type="dxa" w:w="2304"/>
            <w:vAlign w:val="top"/>
            <w:shd w:val="clear" w:color="auto" w:fill="EDF2F7"/>
          </w:tcPr>
          <w:p>
            <w:pPr>
              <w:spacing w:before="40" w:after="40"/>
            </w:pPr>
            <w:r/>
            <w:r>
              <w:rPr>
                <w:b/>
                <w:sz w:val="19"/>
              </w:rPr>
              <w:t>Interested? Y/N</w:t>
            </w:r>
          </w:p>
        </w:tc>
        <w:tc>
          <w:tcPr>
            <w:tcW w:type="dxa" w:w="3744"/>
            <w:vAlign w:val="top"/>
            <w:shd w:val="clear" w:color="auto" w:fill="EDF2F7"/>
          </w:tcPr>
          <w:p>
            <w:pPr>
              <w:spacing w:before="40" w:after="40"/>
            </w:pPr>
            <w:r/>
            <w:r>
              <w:rPr>
                <w:sz w:val="19"/>
              </w:rPr>
              <w:t>Buyer responds (or doesn't) to meeting outreach</w:t>
            </w:r>
          </w:p>
        </w:tc>
        <w:tc>
          <w:tcPr>
            <w:tcW w:type="dxa" w:w="3744"/>
            <w:vAlign w:val="top"/>
            <w:shd w:val="clear" w:color="auto" w:fill="EDF2F7"/>
          </w:tcPr>
          <w:p>
            <w:pPr>
              <w:spacing w:before="40" w:after="40"/>
            </w:pPr>
            <w:r/>
            <w:r>
              <w:rPr>
                <w:sz w:val="19"/>
              </w:rPr>
              <w:t>Terminal — sortable in dashboard</w:t>
            </w:r>
          </w:p>
        </w:tc>
      </w:tr>
      <w:tr>
        <w:tc>
          <w:tcPr>
            <w:tcW w:type="dxa" w:w="2304"/>
            <w:vAlign w:val="top"/>
          </w:tcPr>
          <w:p>
            <w:pPr>
              <w:spacing w:before="40" w:after="40"/>
            </w:pPr>
            <w:r/>
            <w:r>
              <w:rPr>
                <w:b/>
                <w:sz w:val="19"/>
              </w:rPr>
              <w:t>On Hold</w:t>
            </w:r>
          </w:p>
        </w:tc>
        <w:tc>
          <w:tcPr>
            <w:tcW w:type="dxa" w:w="3744"/>
            <w:vAlign w:val="top"/>
          </w:tcPr>
          <w:p>
            <w:pPr>
              <w:spacing w:before="40" w:after="40"/>
            </w:pPr>
            <w:r/>
            <w:r>
              <w:rPr>
                <w:sz w:val="19"/>
              </w:rPr>
              <w:t>User-triggered, any state, no reason required</w:t>
            </w:r>
          </w:p>
        </w:tc>
        <w:tc>
          <w:tcPr>
            <w:tcW w:type="dxa" w:w="3744"/>
            <w:vAlign w:val="top"/>
          </w:tcPr>
          <w:p>
            <w:pPr>
              <w:spacing w:before="40" w:after="40"/>
            </w:pPr>
            <w:r/>
            <w:r>
              <w:rPr>
                <w:sz w:val="19"/>
              </w:rPr>
              <w:t>User-triggered resume</w:t>
            </w:r>
          </w:p>
        </w:tc>
      </w:tr>
      <w:tr>
        <w:tc>
          <w:tcPr>
            <w:tcW w:type="dxa" w:w="2304"/>
            <w:vAlign w:val="top"/>
            <w:shd w:val="clear" w:color="auto" w:fill="EDF2F7"/>
          </w:tcPr>
          <w:p>
            <w:pPr>
              <w:spacing w:before="40" w:after="40"/>
            </w:pPr>
            <w:r/>
            <w:r>
              <w:rPr>
                <w:b/>
                <w:sz w:val="19"/>
              </w:rPr>
              <w:t>Opted Out (this mandate)</w:t>
            </w:r>
          </w:p>
        </w:tc>
        <w:tc>
          <w:tcPr>
            <w:tcW w:type="dxa" w:w="3744"/>
            <w:vAlign w:val="top"/>
            <w:shd w:val="clear" w:color="auto" w:fill="EDF2F7"/>
          </w:tcPr>
          <w:p>
            <w:pPr>
              <w:spacing w:before="40" w:after="40"/>
            </w:pPr>
            <w:r/>
            <w:r>
              <w:rPr>
                <w:sz w:val="19"/>
              </w:rPr>
              <w:t>Buyer declines / unsubscribes / asks to stop</w:t>
            </w:r>
          </w:p>
        </w:tc>
        <w:tc>
          <w:tcPr>
            <w:tcW w:type="dxa" w:w="3744"/>
            <w:vAlign w:val="top"/>
            <w:shd w:val="clear" w:color="auto" w:fill="EDF2F7"/>
          </w:tcPr>
          <w:p>
            <w:pPr>
              <w:spacing w:before="40" w:after="40"/>
            </w:pPr>
            <w:r/>
            <w:r>
              <w:rPr>
                <w:sz w:val="19"/>
              </w:rPr>
              <w:t>Terminal for this mandate</w:t>
            </w:r>
          </w:p>
        </w:tc>
      </w:tr>
    </w:tbl>
    <w:p>
      <w:pPr>
        <w:spacing w:after="40"/>
      </w:pPr>
    </w:p>
    <w:p>
      <w:pPr>
        <w:spacing w:before="240" w:after="120"/>
        <w:pBdr>
          <w:bottom w:val="single" w:sz="6" w:space="1" w:color="1F3A5F"/>
        </w:pBdr>
      </w:pPr>
      <w:r>
        <w:rPr>
          <w:b/>
          <w:color w:val="1F3A5F"/>
          <w:sz w:val="32"/>
        </w:rPr>
        <w:t>11. Post-Ready Meeting Request</w:t>
      </w:r>
    </w:p>
    <w:p>
      <w:pPr>
        <w:pStyle w:val="ListBullet"/>
        <w:spacing w:after="40"/>
      </w:pPr>
      <w:r>
        <w:rPr>
          <w:sz w:val="21"/>
        </w:rPr>
        <w:t>Manual trigger only — advisor initiates from the dashboard once a buyer is Ready.</w:t>
      </w:r>
    </w:p>
    <w:p>
      <w:pPr>
        <w:pStyle w:val="ListBullet"/>
        <w:spacing w:after="40"/>
      </w:pPr>
      <w:r>
        <w:rPr>
          <w:sz w:val="21"/>
        </w:rPr>
        <w:t>Email content is templated and pre-filled with buyer-specific personalisation that the advisor can edit before send.</w:t>
      </w:r>
    </w:p>
    <w:p>
      <w:pPr>
        <w:pStyle w:val="ListBullet"/>
        <w:spacing w:after="40"/>
      </w:pPr>
      <w:r>
        <w:rPr>
          <w:sz w:val="21"/>
        </w:rPr>
        <w:t>Embeds scheduling link from either Microsoft Bookings or HubSpot Meetings, per mandate config.</w:t>
      </w:r>
    </w:p>
    <w:p>
      <w:pPr>
        <w:pStyle w:val="ListBullet"/>
        <w:spacing w:after="40"/>
      </w:pPr>
      <w:r>
        <w:rPr>
          <w:sz w:val="21"/>
        </w:rPr>
        <w:t>After the meeting is booked, advisor flags the buyer as Interested = Yes or No.</w:t>
      </w:r>
    </w:p>
    <w:p>
      <w:pPr>
        <w:pStyle w:val="ListBullet"/>
        <w:spacing w:after="40"/>
      </w:pPr>
      <w:r>
        <w:rPr>
          <w:sz w:val="21"/>
        </w:rPr>
        <w:t>Dashboard auto-sorts buyers by Interested = Yes at the top of each mandate.</w:t>
      </w:r>
    </w:p>
    <w:p>
      <w:pPr>
        <w:spacing w:before="240" w:after="120"/>
        <w:pBdr>
          <w:bottom w:val="single" w:sz="6" w:space="1" w:color="1F3A5F"/>
        </w:pBdr>
      </w:pPr>
      <w:r>
        <w:rPr>
          <w:b/>
          <w:color w:val="1F3A5F"/>
          <w:sz w:val="32"/>
        </w:rPr>
        <w:t>12. Dashboard and Reporting</w:t>
      </w:r>
    </w:p>
    <w:p>
      <w:pPr>
        <w:spacing w:before="240" w:after="120"/>
      </w:pPr>
      <w:r>
        <w:rPr>
          <w:b/>
          <w:color w:val="1F3A5F"/>
          <w:sz w:val="26"/>
        </w:rPr>
        <w:t>12.1 Per-Mandate Dashboard</w:t>
      </w:r>
    </w:p>
    <w:p>
      <w:pPr>
        <w:pStyle w:val="ListBullet"/>
        <w:spacing w:after="40"/>
      </w:pPr>
      <w:r>
        <w:rPr>
          <w:sz w:val="21"/>
        </w:rPr>
        <w:t>One row per buyer with drill-down to contact-level detail.</w:t>
      </w:r>
    </w:p>
    <w:p>
      <w:pPr>
        <w:pStyle w:val="ListBullet"/>
        <w:spacing w:after="40"/>
      </w:pPr>
      <w:r>
        <w:rPr>
          <w:sz w:val="21"/>
        </w:rPr>
        <w:t>Visible state per contact, colour-coded by lifecycle stage.</w:t>
      </w:r>
    </w:p>
    <w:p>
      <w:pPr>
        <w:pStyle w:val="ListBullet"/>
        <w:spacing w:after="40"/>
      </w:pPr>
      <w:r>
        <w:rPr>
          <w:sz w:val="21"/>
        </w:rPr>
        <w:t>Auto-sorted by Interested = Yes at the top.</w:t>
      </w:r>
    </w:p>
    <w:p>
      <w:pPr>
        <w:pStyle w:val="ListBullet"/>
        <w:spacing w:after="40"/>
      </w:pPr>
      <w:r>
        <w:rPr>
          <w:sz w:val="21"/>
        </w:rPr>
        <w:t>Filterable by state, recipient rank, last activity date, document version received.</w:t>
      </w:r>
    </w:p>
    <w:p>
      <w:pPr>
        <w:pStyle w:val="ListBullet"/>
        <w:spacing w:after="40"/>
      </w:pPr>
      <w:r>
        <w:rPr>
          <w:sz w:val="21"/>
        </w:rPr>
        <w:t>Aggregate metrics — response rate, NDA conversion rate, bounce rate, opt-out rate, sequence completion rate.</w:t>
      </w:r>
    </w:p>
    <w:p>
      <w:pPr>
        <w:spacing w:before="240" w:after="120"/>
      </w:pPr>
      <w:r>
        <w:rPr>
          <w:b/>
          <w:color w:val="1F3A5F"/>
          <w:sz w:val="26"/>
        </w:rPr>
        <w:t>12.2 Buyer Drill-Down</w:t>
      </w:r>
    </w:p>
    <w:p>
      <w:pPr>
        <w:pStyle w:val="ListBullet"/>
        <w:spacing w:after="40"/>
      </w:pPr>
      <w:r>
        <w:rPr>
          <w:sz w:val="21"/>
        </w:rPr>
        <w:t>Full enrichment record with source attribution and conflict flags.</w:t>
      </w:r>
    </w:p>
    <w:p>
      <w:pPr>
        <w:pStyle w:val="ListBullet"/>
        <w:spacing w:after="40"/>
      </w:pPr>
      <w:r>
        <w:rPr>
          <w:sz w:val="21"/>
        </w:rPr>
        <w:t>Email history per contact with draft + final versions side-by-side.</w:t>
      </w:r>
    </w:p>
    <w:p>
      <w:pPr>
        <w:pStyle w:val="ListBullet"/>
        <w:spacing w:after="40"/>
      </w:pPr>
      <w:r>
        <w:rPr>
          <w:sz w:val="21"/>
        </w:rPr>
        <w:t>NDA status, DocuSign envelope link, diff output if applicable.</w:t>
      </w:r>
    </w:p>
    <w:p>
      <w:pPr>
        <w:pStyle w:val="ListBullet"/>
        <w:spacing w:after="40"/>
      </w:pPr>
      <w:r>
        <w:rPr>
          <w:sz w:val="21"/>
        </w:rPr>
        <w:t>Call notes log (free-text, timestamped, attributed).</w:t>
      </w:r>
    </w:p>
    <w:p>
      <w:pPr>
        <w:pStyle w:val="ListBullet"/>
        <w:spacing w:after="40"/>
      </w:pPr>
      <w:r>
        <w:rPr>
          <w:sz w:val="21"/>
        </w:rPr>
        <w:t>Per-buyer Opt Out and On Hold toggles.</w:t>
      </w:r>
    </w:p>
    <w:p>
      <w:pPr>
        <w:pStyle w:val="ListBullet"/>
        <w:spacing w:after="40"/>
      </w:pPr>
      <w:r>
        <w:rPr>
          <w:sz w:val="21"/>
        </w:rPr>
        <w:t>Per-buyer NDA Authoriser override.</w:t>
      </w:r>
    </w:p>
    <w:p>
      <w:pPr>
        <w:spacing w:before="240" w:after="120"/>
      </w:pPr>
      <w:r>
        <w:rPr>
          <w:b/>
          <w:color w:val="1F3A5F"/>
          <w:sz w:val="26"/>
        </w:rPr>
        <w:t>12.3 Multi-Mandate Overview</w:t>
      </w:r>
    </w:p>
    <w:p>
      <w:pPr>
        <w:pStyle w:val="ListBullet"/>
        <w:spacing w:after="40"/>
      </w:pPr>
      <w:r>
        <w:rPr>
          <w:sz w:val="21"/>
        </w:rPr>
        <w:t>Single view across all active mandates with summary metrics.</w:t>
      </w:r>
    </w:p>
    <w:p>
      <w:pPr>
        <w:pStyle w:val="ListBullet"/>
        <w:spacing w:after="40"/>
      </w:pPr>
      <w:r>
        <w:rPr>
          <w:sz w:val="21"/>
        </w:rPr>
        <w:t>Cross-mandate buyer-overlap warnings (soft warn).</w:t>
      </w:r>
    </w:p>
    <w:p>
      <w:pPr>
        <w:pStyle w:val="ListBullet"/>
        <w:spacing w:after="40"/>
      </w:pPr>
      <w:r>
        <w:rPr>
          <w:sz w:val="21"/>
        </w:rPr>
        <w:t>Drill-down per mandate.</w:t>
      </w:r>
    </w:p>
    <w:p>
      <w:pPr>
        <w:spacing w:before="240" w:after="120"/>
      </w:pPr>
      <w:r>
        <w:rPr>
          <w:b/>
          <w:color w:val="1F3A5F"/>
          <w:sz w:val="26"/>
        </w:rPr>
        <w:t>12.4 Client Reporting Export</w:t>
      </w:r>
    </w:p>
    <w:p>
      <w:pPr>
        <w:spacing w:before="0" w:after="80"/>
      </w:pPr>
      <w:r>
        <w:rPr>
          <w:b w:val="0"/>
          <w:i w:val="0"/>
          <w:sz w:val="21"/>
        </w:rPr>
        <w:t>Per-mandate close-out report, generated as a PDF and accompanying JSON, containing:</w:t>
      </w:r>
    </w:p>
    <w:p>
      <w:pPr>
        <w:pStyle w:val="ListBullet"/>
        <w:spacing w:after="40"/>
      </w:pPr>
      <w:r>
        <w:rPr>
          <w:sz w:val="21"/>
        </w:rPr>
        <w:t>Cover Page — mandate name, dates, advisor.</w:t>
      </w:r>
    </w:p>
    <w:p>
      <w:pPr>
        <w:pStyle w:val="ListBullet"/>
        <w:spacing w:after="40"/>
      </w:pPr>
      <w:r>
        <w:rPr>
          <w:sz w:val="21"/>
        </w:rPr>
        <w:t>Status Table — buyers by current state, with key milestones (first send, reply, NDA signed, meeting booked).</w:t>
      </w:r>
    </w:p>
    <w:p>
      <w:pPr>
        <w:pStyle w:val="ListBullet"/>
        <w:spacing w:after="40"/>
      </w:pPr>
      <w:r>
        <w:rPr>
          <w:sz w:val="21"/>
        </w:rPr>
        <w:t>Metrics — response rate, NDA conversion, bounce rate, time-to-NDA, time-to-meeting.</w:t>
      </w:r>
    </w:p>
    <w:p>
      <w:pPr>
        <w:pStyle w:val="ListBullet"/>
        <w:spacing w:after="40"/>
      </w:pPr>
      <w:r>
        <w:rPr>
          <w:sz w:val="21"/>
        </w:rPr>
        <w:t>Audit Summary — high-level audit trail suitable for client transparency (full audit log available on request).</w:t>
      </w:r>
    </w:p>
    <w:p>
      <w:r>
        <w:br w:type="page"/>
      </w:r>
    </w:p>
    <w:p>
      <w:pPr>
        <w:spacing w:before="240" w:after="120"/>
        <w:pBdr>
          <w:bottom w:val="single" w:sz="6" w:space="1" w:color="1F3A5F"/>
        </w:pBdr>
      </w:pPr>
      <w:r>
        <w:rPr>
          <w:b/>
          <w:color w:val="1F3A5F"/>
          <w:sz w:val="32"/>
        </w:rPr>
        <w:t>13. Non-Functional Requirements</w:t>
      </w:r>
    </w:p>
    <w:p>
      <w:pPr>
        <w:spacing w:before="240" w:after="120"/>
      </w:pPr>
      <w:r>
        <w:rPr>
          <w:b/>
          <w:color w:val="1F3A5F"/>
          <w:sz w:val="26"/>
        </w:rPr>
        <w:t>13.1 Human-in-the-Loop Checkpoints</w:t>
      </w:r>
    </w:p>
    <w:tbl>
      <w:tblPr>
        <w:tblStyle w:val="TableGrid"/>
        <w:tblW w:type="auto" w:w="0"/>
        <w:jc w:val="left"/>
        <w:tblLook w:firstColumn="1" w:firstRow="1" w:lastColumn="0" w:lastRow="0" w:noHBand="0" w:noVBand="1" w:val="04A0"/>
      </w:tblPr>
      <w:tblGrid>
        <w:gridCol w:w="3249"/>
        <w:gridCol w:w="3249"/>
        <w:gridCol w:w="3249"/>
      </w:tblGrid>
      <w:tr>
        <w:tc>
          <w:tcPr>
            <w:tcW w:type="dxa" w:w="2592"/>
            <w:shd w:val="clear" w:color="auto" w:fill="1F3A5F"/>
            <w:vAlign w:val="center"/>
          </w:tcPr>
          <w:p>
            <w:pPr>
              <w:spacing w:before="40" w:after="40"/>
            </w:pPr>
            <w:r/>
            <w:r>
              <w:rPr>
                <w:b/>
                <w:color w:val="FFFFFF"/>
                <w:sz w:val="20"/>
              </w:rPr>
              <w:t>Checkpoint</w:t>
            </w:r>
          </w:p>
        </w:tc>
        <w:tc>
          <w:tcPr>
            <w:tcW w:type="dxa" w:w="4320"/>
            <w:shd w:val="clear" w:color="auto" w:fill="1F3A5F"/>
            <w:vAlign w:val="center"/>
          </w:tcPr>
          <w:p>
            <w:pPr>
              <w:spacing w:before="40" w:after="40"/>
            </w:pPr>
            <w:r/>
            <w:r>
              <w:rPr>
                <w:b/>
                <w:color w:val="FFFFFF"/>
                <w:sz w:val="20"/>
              </w:rPr>
              <w:t>What the advisor sees</w:t>
            </w:r>
          </w:p>
        </w:tc>
        <w:tc>
          <w:tcPr>
            <w:tcW w:type="dxa" w:w="2880"/>
            <w:shd w:val="clear" w:color="auto" w:fill="1F3A5F"/>
            <w:vAlign w:val="center"/>
          </w:tcPr>
          <w:p>
            <w:pPr>
              <w:spacing w:before="40" w:after="40"/>
            </w:pPr>
            <w:r/>
            <w:r>
              <w:rPr>
                <w:b/>
                <w:color w:val="FFFFFF"/>
                <w:sz w:val="20"/>
              </w:rPr>
              <w:t>Why</w:t>
            </w:r>
          </w:p>
        </w:tc>
      </w:tr>
      <w:tr>
        <w:tc>
          <w:tcPr>
            <w:tcW w:type="dxa" w:w="2592"/>
            <w:vAlign w:val="top"/>
          </w:tcPr>
          <w:p>
            <w:pPr>
              <w:spacing w:before="40" w:after="40"/>
            </w:pPr>
            <w:r/>
            <w:r>
              <w:rPr>
                <w:b/>
                <w:sz w:val="19"/>
              </w:rPr>
              <w:t>Mandate setup</w:t>
            </w:r>
          </w:p>
        </w:tc>
        <w:tc>
          <w:tcPr>
            <w:tcW w:type="dxa" w:w="4320"/>
            <w:vAlign w:val="top"/>
          </w:tcPr>
          <w:p>
            <w:pPr>
              <w:spacing w:before="40" w:after="40"/>
            </w:pPr>
            <w:r/>
            <w:r>
              <w:rPr>
                <w:sz w:val="19"/>
              </w:rPr>
              <w:t>Setup form, NDA authoriser, scheduler toggle</w:t>
            </w:r>
          </w:p>
        </w:tc>
        <w:tc>
          <w:tcPr>
            <w:tcW w:type="dxa" w:w="2880"/>
            <w:vAlign w:val="top"/>
          </w:tcPr>
          <w:p>
            <w:pPr>
              <w:spacing w:before="40" w:after="40"/>
            </w:pPr>
            <w:r/>
            <w:r>
              <w:rPr>
                <w:sz w:val="19"/>
              </w:rPr>
              <w:t>Per-mandate configuration</w:t>
            </w:r>
          </w:p>
        </w:tc>
      </w:tr>
      <w:tr>
        <w:tc>
          <w:tcPr>
            <w:tcW w:type="dxa" w:w="2592"/>
            <w:vAlign w:val="top"/>
            <w:shd w:val="clear" w:color="auto" w:fill="EDF2F7"/>
          </w:tcPr>
          <w:p>
            <w:pPr>
              <w:spacing w:before="40" w:after="40"/>
            </w:pPr>
            <w:r/>
            <w:r>
              <w:rPr>
                <w:b/>
                <w:sz w:val="19"/>
              </w:rPr>
              <w:t>Exclusion match</w:t>
            </w:r>
          </w:p>
        </w:tc>
        <w:tc>
          <w:tcPr>
            <w:tcW w:type="dxa" w:w="4320"/>
            <w:vAlign w:val="top"/>
            <w:shd w:val="clear" w:color="auto" w:fill="EDF2F7"/>
          </w:tcPr>
          <w:p>
            <w:pPr>
              <w:spacing w:before="40" w:after="40"/>
            </w:pPr>
            <w:r/>
            <w:r>
              <w:rPr>
                <w:sz w:val="19"/>
              </w:rPr>
              <w:t>Side-by-side comparison + manual confirm</w:t>
            </w:r>
          </w:p>
        </w:tc>
        <w:tc>
          <w:tcPr>
            <w:tcW w:type="dxa" w:w="2880"/>
            <w:vAlign w:val="top"/>
            <w:shd w:val="clear" w:color="auto" w:fill="EDF2F7"/>
          </w:tcPr>
          <w:p>
            <w:pPr>
              <w:spacing w:before="40" w:after="40"/>
            </w:pPr>
            <w:r/>
            <w:r>
              <w:rPr>
                <w:sz w:val="19"/>
              </w:rPr>
              <w:t>Prevents accidental contact of excluded buyers</w:t>
            </w:r>
          </w:p>
        </w:tc>
      </w:tr>
      <w:tr>
        <w:tc>
          <w:tcPr>
            <w:tcW w:type="dxa" w:w="2592"/>
            <w:vAlign w:val="top"/>
          </w:tcPr>
          <w:p>
            <w:pPr>
              <w:spacing w:before="40" w:after="40"/>
            </w:pPr>
            <w:r/>
            <w:r>
              <w:rPr>
                <w:b/>
                <w:sz w:val="19"/>
              </w:rPr>
              <w:t>Persona ranking</w:t>
            </w:r>
          </w:p>
        </w:tc>
        <w:tc>
          <w:tcPr>
            <w:tcW w:type="dxa" w:w="4320"/>
            <w:vAlign w:val="top"/>
          </w:tcPr>
          <w:p>
            <w:pPr>
              <w:spacing w:before="40" w:after="40"/>
            </w:pPr>
            <w:r/>
            <w:r>
              <w:rPr>
                <w:sz w:val="19"/>
              </w:rPr>
              <w:t>Agent's recommended rank 1–5 + override</w:t>
            </w:r>
          </w:p>
        </w:tc>
        <w:tc>
          <w:tcPr>
            <w:tcW w:type="dxa" w:w="2880"/>
            <w:vAlign w:val="top"/>
          </w:tcPr>
          <w:p>
            <w:pPr>
              <w:spacing w:before="40" w:after="40"/>
            </w:pPr>
            <w:r/>
            <w:r>
              <w:rPr>
                <w:sz w:val="19"/>
              </w:rPr>
              <w:t>Advisor judgement on relationship priority</w:t>
            </w:r>
          </w:p>
        </w:tc>
      </w:tr>
      <w:tr>
        <w:tc>
          <w:tcPr>
            <w:tcW w:type="dxa" w:w="2592"/>
            <w:vAlign w:val="top"/>
            <w:shd w:val="clear" w:color="auto" w:fill="EDF2F7"/>
          </w:tcPr>
          <w:p>
            <w:pPr>
              <w:spacing w:before="40" w:after="40"/>
            </w:pPr>
            <w:r/>
            <w:r>
              <w:rPr>
                <w:b/>
                <w:sz w:val="19"/>
              </w:rPr>
              <w:t>Job-change detection</w:t>
            </w:r>
          </w:p>
        </w:tc>
        <w:tc>
          <w:tcPr>
            <w:tcW w:type="dxa" w:w="4320"/>
            <w:vAlign w:val="top"/>
            <w:shd w:val="clear" w:color="auto" w:fill="EDF2F7"/>
          </w:tcPr>
          <w:p>
            <w:pPr>
              <w:spacing w:before="40" w:after="40"/>
            </w:pPr>
            <w:r/>
            <w:r>
              <w:rPr>
                <w:sz w:val="19"/>
              </w:rPr>
              <w:t>Notification for affected buyer; three options</w:t>
            </w:r>
          </w:p>
        </w:tc>
        <w:tc>
          <w:tcPr>
            <w:tcW w:type="dxa" w:w="2880"/>
            <w:vAlign w:val="top"/>
            <w:shd w:val="clear" w:color="auto" w:fill="EDF2F7"/>
          </w:tcPr>
          <w:p>
            <w:pPr>
              <w:spacing w:before="40" w:after="40"/>
            </w:pPr>
            <w:r/>
            <w:r>
              <w:rPr>
                <w:sz w:val="19"/>
              </w:rPr>
              <w:t>Tone, accuracy, follow-through</w:t>
            </w:r>
          </w:p>
        </w:tc>
      </w:tr>
      <w:tr>
        <w:tc>
          <w:tcPr>
            <w:tcW w:type="dxa" w:w="2592"/>
            <w:vAlign w:val="top"/>
          </w:tcPr>
          <w:p>
            <w:pPr>
              <w:spacing w:before="40" w:after="40"/>
            </w:pPr>
            <w:r/>
            <w:r>
              <w:rPr>
                <w:b/>
                <w:sz w:val="19"/>
              </w:rPr>
              <w:t>Clay enrichment gate</w:t>
            </w:r>
          </w:p>
        </w:tc>
        <w:tc>
          <w:tcPr>
            <w:tcW w:type="dxa" w:w="4320"/>
            <w:vAlign w:val="top"/>
          </w:tcPr>
          <w:p>
            <w:pPr>
              <w:spacing w:before="40" w:after="40"/>
            </w:pPr>
            <w:r/>
            <w:r>
              <w:rPr>
                <w:sz w:val="19"/>
              </w:rPr>
              <w:t>Completeness summary + projected credit cost</w:t>
            </w:r>
          </w:p>
        </w:tc>
        <w:tc>
          <w:tcPr>
            <w:tcW w:type="dxa" w:w="2880"/>
            <w:vAlign w:val="top"/>
          </w:tcPr>
          <w:p>
            <w:pPr>
              <w:spacing w:before="40" w:after="40"/>
            </w:pPr>
            <w:r/>
            <w:r>
              <w:rPr>
                <w:sz w:val="19"/>
              </w:rPr>
              <w:t>Cost control on premium enrichment</w:t>
            </w:r>
          </w:p>
        </w:tc>
      </w:tr>
      <w:tr>
        <w:tc>
          <w:tcPr>
            <w:tcW w:type="dxa" w:w="2592"/>
            <w:vAlign w:val="top"/>
            <w:shd w:val="clear" w:color="auto" w:fill="EDF2F7"/>
          </w:tcPr>
          <w:p>
            <w:pPr>
              <w:spacing w:before="40" w:after="40"/>
            </w:pPr>
            <w:r/>
            <w:r>
              <w:rPr>
                <w:b/>
                <w:sz w:val="19"/>
              </w:rPr>
              <w:t>Email send (every email)</w:t>
            </w:r>
          </w:p>
        </w:tc>
        <w:tc>
          <w:tcPr>
            <w:tcW w:type="dxa" w:w="4320"/>
            <w:vAlign w:val="top"/>
            <w:shd w:val="clear" w:color="auto" w:fill="EDF2F7"/>
          </w:tcPr>
          <w:p>
            <w:pPr>
              <w:spacing w:before="40" w:after="40"/>
            </w:pPr>
            <w:r/>
            <w:r>
              <w:rPr>
                <w:sz w:val="19"/>
              </w:rPr>
              <w:t>Drafted email in review queue; edit + approve</w:t>
            </w:r>
          </w:p>
        </w:tc>
        <w:tc>
          <w:tcPr>
            <w:tcW w:type="dxa" w:w="2880"/>
            <w:vAlign w:val="top"/>
            <w:shd w:val="clear" w:color="auto" w:fill="EDF2F7"/>
          </w:tcPr>
          <w:p>
            <w:pPr>
              <w:spacing w:before="40" w:after="40"/>
            </w:pPr>
            <w:r/>
            <w:r>
              <w:rPr>
                <w:sz w:val="19"/>
              </w:rPr>
              <w:t>Quality gate on every outbound</w:t>
            </w:r>
          </w:p>
        </w:tc>
      </w:tr>
      <w:tr>
        <w:tc>
          <w:tcPr>
            <w:tcW w:type="dxa" w:w="2592"/>
            <w:vAlign w:val="top"/>
          </w:tcPr>
          <w:p>
            <w:pPr>
              <w:spacing w:before="40" w:after="40"/>
            </w:pPr>
            <w:r/>
            <w:r>
              <w:rPr>
                <w:b/>
                <w:sz w:val="19"/>
              </w:rPr>
              <w:t>Reply triage</w:t>
            </w:r>
          </w:p>
        </w:tc>
        <w:tc>
          <w:tcPr>
            <w:tcW w:type="dxa" w:w="4320"/>
            <w:vAlign w:val="top"/>
          </w:tcPr>
          <w:p>
            <w:pPr>
              <w:spacing w:before="40" w:after="40"/>
            </w:pPr>
            <w:r/>
            <w:r>
              <w:rPr>
                <w:sz w:val="19"/>
              </w:rPr>
              <w:t>Classified bucket + recommendation; advisor confirms</w:t>
            </w:r>
          </w:p>
        </w:tc>
        <w:tc>
          <w:tcPr>
            <w:tcW w:type="dxa" w:w="2880"/>
            <w:vAlign w:val="top"/>
          </w:tcPr>
          <w:p>
            <w:pPr>
              <w:spacing w:before="40" w:after="40"/>
            </w:pPr>
            <w:r/>
            <w:r>
              <w:rPr>
                <w:sz w:val="19"/>
              </w:rPr>
              <w:t>Tone, judgement, relationship preserved</w:t>
            </w:r>
          </w:p>
        </w:tc>
      </w:tr>
      <w:tr>
        <w:tc>
          <w:tcPr>
            <w:tcW w:type="dxa" w:w="2592"/>
            <w:vAlign w:val="top"/>
            <w:shd w:val="clear" w:color="auto" w:fill="EDF2F7"/>
          </w:tcPr>
          <w:p>
            <w:pPr>
              <w:spacing w:before="40" w:after="40"/>
            </w:pPr>
            <w:r/>
            <w:r>
              <w:rPr>
                <w:b/>
                <w:sz w:val="19"/>
              </w:rPr>
              <w:t>Resume from pause</w:t>
            </w:r>
          </w:p>
        </w:tc>
        <w:tc>
          <w:tcPr>
            <w:tcW w:type="dxa" w:w="4320"/>
            <w:vAlign w:val="top"/>
            <w:shd w:val="clear" w:color="auto" w:fill="EDF2F7"/>
          </w:tcPr>
          <w:p>
            <w:pPr>
              <w:spacing w:before="40" w:after="40"/>
            </w:pPr>
            <w:r/>
            <w:r>
              <w:rPr>
                <w:sz w:val="19"/>
              </w:rPr>
              <w:t>Three resume options (now / cadence / custom)</w:t>
            </w:r>
          </w:p>
        </w:tc>
        <w:tc>
          <w:tcPr>
            <w:tcW w:type="dxa" w:w="2880"/>
            <w:vAlign w:val="top"/>
            <w:shd w:val="clear" w:color="auto" w:fill="EDF2F7"/>
          </w:tcPr>
          <w:p>
            <w:pPr>
              <w:spacing w:before="40" w:after="40"/>
            </w:pPr>
            <w:r/>
            <w:r>
              <w:rPr>
                <w:sz w:val="19"/>
              </w:rPr>
              <w:t>Advisor controls timing</w:t>
            </w:r>
          </w:p>
        </w:tc>
      </w:tr>
      <w:tr>
        <w:tc>
          <w:tcPr>
            <w:tcW w:type="dxa" w:w="2592"/>
            <w:vAlign w:val="top"/>
          </w:tcPr>
          <w:p>
            <w:pPr>
              <w:spacing w:before="40" w:after="40"/>
            </w:pPr>
            <w:r/>
            <w:r>
              <w:rPr>
                <w:b/>
                <w:sz w:val="19"/>
              </w:rPr>
              <w:t>NDA send</w:t>
            </w:r>
          </w:p>
        </w:tc>
        <w:tc>
          <w:tcPr>
            <w:tcW w:type="dxa" w:w="4320"/>
            <w:vAlign w:val="top"/>
          </w:tcPr>
          <w:p>
            <w:pPr>
              <w:spacing w:before="40" w:after="40"/>
            </w:pPr>
            <w:r/>
            <w:r>
              <w:rPr>
                <w:sz w:val="19"/>
              </w:rPr>
              <w:t>Pre-fill or blank mode; one-click</w:t>
            </w:r>
          </w:p>
        </w:tc>
        <w:tc>
          <w:tcPr>
            <w:tcW w:type="dxa" w:w="2880"/>
            <w:vAlign w:val="top"/>
          </w:tcPr>
          <w:p>
            <w:pPr>
              <w:spacing w:before="40" w:after="40"/>
            </w:pPr>
            <w:r/>
            <w:r>
              <w:rPr>
                <w:sz w:val="19"/>
              </w:rPr>
              <w:t>Trust but verify</w:t>
            </w:r>
          </w:p>
        </w:tc>
      </w:tr>
      <w:tr>
        <w:tc>
          <w:tcPr>
            <w:tcW w:type="dxa" w:w="2592"/>
            <w:vAlign w:val="top"/>
            <w:shd w:val="clear" w:color="auto" w:fill="EDF2F7"/>
          </w:tcPr>
          <w:p>
            <w:pPr>
              <w:spacing w:before="40" w:after="40"/>
            </w:pPr>
            <w:r/>
            <w:r>
              <w:rPr>
                <w:b/>
                <w:sz w:val="19"/>
              </w:rPr>
              <w:t>NDA diff review</w:t>
            </w:r>
          </w:p>
        </w:tc>
        <w:tc>
          <w:tcPr>
            <w:tcW w:type="dxa" w:w="4320"/>
            <w:vAlign w:val="top"/>
            <w:shd w:val="clear" w:color="auto" w:fill="EDF2F7"/>
          </w:tcPr>
          <w:p>
            <w:pPr>
              <w:spacing w:before="40" w:after="40"/>
            </w:pPr>
            <w:r/>
            <w:r>
              <w:rPr>
                <w:sz w:val="19"/>
              </w:rPr>
              <w:t>Side-by-side; legal review hand-off if change</w:t>
            </w:r>
          </w:p>
        </w:tc>
        <w:tc>
          <w:tcPr>
            <w:tcW w:type="dxa" w:w="2880"/>
            <w:vAlign w:val="top"/>
            <w:shd w:val="clear" w:color="auto" w:fill="EDF2F7"/>
          </w:tcPr>
          <w:p>
            <w:pPr>
              <w:spacing w:before="40" w:after="40"/>
            </w:pPr>
            <w:r/>
            <w:r>
              <w:rPr>
                <w:sz w:val="19"/>
              </w:rPr>
              <w:t>Risk control</w:t>
            </w:r>
          </w:p>
        </w:tc>
      </w:tr>
      <w:tr>
        <w:tc>
          <w:tcPr>
            <w:tcW w:type="dxa" w:w="2592"/>
            <w:vAlign w:val="top"/>
          </w:tcPr>
          <w:p>
            <w:pPr>
              <w:spacing w:before="40" w:after="40"/>
            </w:pPr>
            <w:r/>
            <w:r>
              <w:rPr>
                <w:b/>
                <w:sz w:val="19"/>
              </w:rPr>
              <w:t>Wet-ink upload</w:t>
            </w:r>
          </w:p>
        </w:tc>
        <w:tc>
          <w:tcPr>
            <w:tcW w:type="dxa" w:w="4320"/>
            <w:vAlign w:val="top"/>
          </w:tcPr>
          <w:p>
            <w:pPr>
              <w:spacing w:before="40" w:after="40"/>
            </w:pPr>
            <w:r/>
            <w:r>
              <w:rPr>
                <w:sz w:val="19"/>
              </w:rPr>
              <w:t>Manual PDF upload triggers envelope creation</w:t>
            </w:r>
          </w:p>
        </w:tc>
        <w:tc>
          <w:tcPr>
            <w:tcW w:type="dxa" w:w="2880"/>
            <w:vAlign w:val="top"/>
          </w:tcPr>
          <w:p>
            <w:pPr>
              <w:spacing w:before="40" w:after="40"/>
            </w:pPr>
            <w:r/>
            <w:r>
              <w:rPr>
                <w:sz w:val="19"/>
              </w:rPr>
              <w:t>Buyer's preferred mechanism preserved</w:t>
            </w:r>
          </w:p>
        </w:tc>
      </w:tr>
      <w:tr>
        <w:tc>
          <w:tcPr>
            <w:tcW w:type="dxa" w:w="2592"/>
            <w:vAlign w:val="top"/>
            <w:shd w:val="clear" w:color="auto" w:fill="EDF2F7"/>
          </w:tcPr>
          <w:p>
            <w:pPr>
              <w:spacing w:before="40" w:after="40"/>
            </w:pPr>
            <w:r/>
            <w:r>
              <w:rPr>
                <w:b/>
                <w:sz w:val="19"/>
              </w:rPr>
              <w:t>Meeting request send</w:t>
            </w:r>
          </w:p>
        </w:tc>
        <w:tc>
          <w:tcPr>
            <w:tcW w:type="dxa" w:w="4320"/>
            <w:vAlign w:val="top"/>
            <w:shd w:val="clear" w:color="auto" w:fill="EDF2F7"/>
          </w:tcPr>
          <w:p>
            <w:pPr>
              <w:spacing w:before="40" w:after="40"/>
            </w:pPr>
            <w:r/>
            <w:r>
              <w:rPr>
                <w:sz w:val="19"/>
              </w:rPr>
              <w:t>Pre-filled email; manual trigger only</w:t>
            </w:r>
          </w:p>
        </w:tc>
        <w:tc>
          <w:tcPr>
            <w:tcW w:type="dxa" w:w="2880"/>
            <w:vAlign w:val="top"/>
            <w:shd w:val="clear" w:color="auto" w:fill="EDF2F7"/>
          </w:tcPr>
          <w:p>
            <w:pPr>
              <w:spacing w:before="40" w:after="40"/>
            </w:pPr>
            <w:r/>
            <w:r>
              <w:rPr>
                <w:sz w:val="19"/>
              </w:rPr>
              <w:t>High-stakes touch stays human</w:t>
            </w:r>
          </w:p>
        </w:tc>
      </w:tr>
      <w:tr>
        <w:tc>
          <w:tcPr>
            <w:tcW w:type="dxa" w:w="2592"/>
            <w:vAlign w:val="top"/>
          </w:tcPr>
          <w:p>
            <w:pPr>
              <w:spacing w:before="40" w:after="40"/>
            </w:pPr>
            <w:r/>
            <w:r>
              <w:rPr>
                <w:b/>
                <w:sz w:val="19"/>
              </w:rPr>
              <w:t>Interested Y/N flag</w:t>
            </w:r>
          </w:p>
        </w:tc>
        <w:tc>
          <w:tcPr>
            <w:tcW w:type="dxa" w:w="4320"/>
            <w:vAlign w:val="top"/>
          </w:tcPr>
          <w:p>
            <w:pPr>
              <w:spacing w:before="40" w:after="40"/>
            </w:pPr>
            <w:r/>
            <w:r>
              <w:rPr>
                <w:sz w:val="19"/>
              </w:rPr>
              <w:t>Set by advisor on dashboard</w:t>
            </w:r>
          </w:p>
        </w:tc>
        <w:tc>
          <w:tcPr>
            <w:tcW w:type="dxa" w:w="2880"/>
            <w:vAlign w:val="top"/>
          </w:tcPr>
          <w:p>
            <w:pPr>
              <w:spacing w:before="40" w:after="40"/>
            </w:pPr>
            <w:r/>
            <w:r>
              <w:rPr>
                <w:sz w:val="19"/>
              </w:rPr>
              <w:t>Subjective; only advisor can judge</w:t>
            </w:r>
          </w:p>
        </w:tc>
      </w:tr>
      <w:tr>
        <w:tc>
          <w:tcPr>
            <w:tcW w:type="dxa" w:w="2592"/>
            <w:vAlign w:val="top"/>
            <w:shd w:val="clear" w:color="auto" w:fill="EDF2F7"/>
          </w:tcPr>
          <w:p>
            <w:pPr>
              <w:spacing w:before="40" w:after="40"/>
            </w:pPr>
            <w:r/>
            <w:r>
              <w:rPr>
                <w:b/>
                <w:sz w:val="19"/>
              </w:rPr>
              <w:t>On Hold toggle</w:t>
            </w:r>
          </w:p>
        </w:tc>
        <w:tc>
          <w:tcPr>
            <w:tcW w:type="dxa" w:w="4320"/>
            <w:vAlign w:val="top"/>
            <w:shd w:val="clear" w:color="auto" w:fill="EDF2F7"/>
          </w:tcPr>
          <w:p>
            <w:pPr>
              <w:spacing w:before="40" w:after="40"/>
            </w:pPr>
            <w:r/>
            <w:r>
              <w:rPr>
                <w:sz w:val="19"/>
              </w:rPr>
              <w:t>Per-buyer, any state, no reason required</w:t>
            </w:r>
          </w:p>
        </w:tc>
        <w:tc>
          <w:tcPr>
            <w:tcW w:type="dxa" w:w="2880"/>
            <w:vAlign w:val="top"/>
            <w:shd w:val="clear" w:color="auto" w:fill="EDF2F7"/>
          </w:tcPr>
          <w:p>
            <w:pPr>
              <w:spacing w:before="40" w:after="40"/>
            </w:pPr>
            <w:r/>
            <w:r>
              <w:rPr>
                <w:sz w:val="19"/>
              </w:rPr>
              <w:t>Discretionary advisor control</w:t>
            </w:r>
          </w:p>
        </w:tc>
      </w:tr>
    </w:tbl>
    <w:p>
      <w:pPr>
        <w:spacing w:after="40"/>
      </w:pPr>
    </w:p>
    <w:p>
      <w:pPr>
        <w:spacing w:before="240" w:after="120"/>
      </w:pPr>
      <w:r>
        <w:rPr>
          <w:b/>
          <w:color w:val="1F3A5F"/>
          <w:sz w:val="26"/>
        </w:rPr>
        <w:t>13.2 Retry and Resilience</w:t>
      </w:r>
    </w:p>
    <w:p>
      <w:pPr>
        <w:pStyle w:val="ListBullet"/>
        <w:spacing w:after="40"/>
      </w:pPr>
      <w:r>
        <w:rPr>
          <w:sz w:val="21"/>
        </w:rPr>
        <w:t>Email send errors trigger retry against the next conflicting email value on file.</w:t>
      </w:r>
    </w:p>
    <w:p>
      <w:pPr>
        <w:pStyle w:val="ListBullet"/>
        <w:spacing w:after="40"/>
      </w:pPr>
      <w:r>
        <w:rPr>
          <w:sz w:val="21"/>
        </w:rPr>
        <w:t>If all email values fail verification or send, escalate to next ranked recipient.</w:t>
      </w:r>
    </w:p>
    <w:p>
      <w:pPr>
        <w:pStyle w:val="ListBullet"/>
        <w:spacing w:after="40"/>
      </w:pPr>
      <w:r>
        <w:rPr>
          <w:sz w:val="21"/>
        </w:rPr>
        <w:t>Phone outreach is manual; alternate phone numbers surfaced in priority order.</w:t>
      </w:r>
    </w:p>
    <w:p>
      <w:pPr>
        <w:pStyle w:val="ListBullet"/>
        <w:spacing w:after="40"/>
      </w:pPr>
      <w:r>
        <w:rPr>
          <w:sz w:val="21"/>
        </w:rPr>
        <w:t>LLM outages fall back from primary (Claude) to secondary (GPT-class) automatically.</w:t>
      </w:r>
    </w:p>
    <w:p>
      <w:pPr>
        <w:pStyle w:val="ListBullet"/>
        <w:spacing w:after="40"/>
      </w:pPr>
      <w:r>
        <w:rPr>
          <w:sz w:val="21"/>
        </w:rPr>
        <w:t>DocuSign envelope failures retried with exponential backoff (3 attempts) before alerting.</w:t>
      </w:r>
    </w:p>
    <w:p>
      <w:pPr>
        <w:pStyle w:val="ListBullet"/>
        <w:spacing w:after="40"/>
      </w:pPr>
      <w:r>
        <w:rPr>
          <w:sz w:val="21"/>
        </w:rPr>
        <w:t>Apollo sending outages: sends queued; dashboard alert; auto-resume on API health.</w:t>
      </w:r>
    </w:p>
    <w:p>
      <w:pPr>
        <w:spacing w:before="240" w:after="120"/>
      </w:pPr>
      <w:r>
        <w:rPr>
          <w:b/>
          <w:color w:val="1F3A5F"/>
          <w:sz w:val="26"/>
        </w:rPr>
        <w:t>13.3 Audit Trail (5 layers)</w:t>
      </w:r>
    </w:p>
    <w:tbl>
      <w:tblPr>
        <w:tblStyle w:val="TableGrid"/>
        <w:tblW w:type="auto" w:w="0"/>
        <w:jc w:val="left"/>
        <w:tblLook w:firstColumn="1" w:firstRow="1" w:lastColumn="0" w:lastRow="0" w:noHBand="0" w:noVBand="1" w:val="04A0"/>
      </w:tblPr>
      <w:tblGrid>
        <w:gridCol w:w="3249"/>
        <w:gridCol w:w="3249"/>
        <w:gridCol w:w="3249"/>
      </w:tblGrid>
      <w:tr>
        <w:tc>
          <w:tcPr>
            <w:tcW w:type="dxa" w:w="2304"/>
            <w:shd w:val="clear" w:color="auto" w:fill="1F3A5F"/>
            <w:vAlign w:val="center"/>
          </w:tcPr>
          <w:p>
            <w:pPr>
              <w:spacing w:before="40" w:after="40"/>
            </w:pPr>
            <w:r/>
            <w:r>
              <w:rPr>
                <w:b/>
                <w:color w:val="FFFFFF"/>
                <w:sz w:val="20"/>
              </w:rPr>
              <w:t>Layer</w:t>
            </w:r>
          </w:p>
        </w:tc>
        <w:tc>
          <w:tcPr>
            <w:tcW w:type="dxa" w:w="5760"/>
            <w:shd w:val="clear" w:color="auto" w:fill="1F3A5F"/>
            <w:vAlign w:val="center"/>
          </w:tcPr>
          <w:p>
            <w:pPr>
              <w:spacing w:before="40" w:after="40"/>
            </w:pPr>
            <w:r/>
            <w:r>
              <w:rPr>
                <w:b/>
                <w:color w:val="FFFFFF"/>
                <w:sz w:val="20"/>
              </w:rPr>
              <w:t>What is logged</w:t>
            </w:r>
          </w:p>
        </w:tc>
        <w:tc>
          <w:tcPr>
            <w:tcW w:type="dxa" w:w="1728"/>
            <w:shd w:val="clear" w:color="auto" w:fill="1F3A5F"/>
            <w:vAlign w:val="center"/>
          </w:tcPr>
          <w:p>
            <w:pPr>
              <w:spacing w:before="40" w:after="40"/>
            </w:pPr>
            <w:r/>
            <w:r>
              <w:rPr>
                <w:b/>
                <w:color w:val="FFFFFF"/>
                <w:sz w:val="20"/>
              </w:rPr>
              <w:t>Retention</w:t>
            </w:r>
          </w:p>
        </w:tc>
      </w:tr>
      <w:tr>
        <w:tc>
          <w:tcPr>
            <w:tcW w:type="dxa" w:w="2304"/>
            <w:vAlign w:val="top"/>
          </w:tcPr>
          <w:p>
            <w:pPr>
              <w:spacing w:before="40" w:after="40"/>
            </w:pPr>
            <w:r/>
            <w:r>
              <w:rPr>
                <w:b/>
                <w:sz w:val="19"/>
              </w:rPr>
              <w:t>Mandate-level</w:t>
            </w:r>
          </w:p>
        </w:tc>
        <w:tc>
          <w:tcPr>
            <w:tcW w:type="dxa" w:w="5760"/>
            <w:vAlign w:val="top"/>
          </w:tcPr>
          <w:p>
            <w:pPr>
              <w:spacing w:before="40" w:after="40"/>
            </w:pPr>
            <w:r/>
            <w:r>
              <w:rPr>
                <w:sz w:val="19"/>
              </w:rPr>
              <w:t>Mandate setup, template versions, authoriser changes, document versions</w:t>
            </w:r>
          </w:p>
        </w:tc>
        <w:tc>
          <w:tcPr>
            <w:tcW w:type="dxa" w:w="1728"/>
            <w:vAlign w:val="top"/>
          </w:tcPr>
          <w:p>
            <w:pPr>
              <w:spacing w:before="40" w:after="40"/>
            </w:pPr>
            <w:r/>
            <w:r>
              <w:rPr>
                <w:sz w:val="19"/>
              </w:rPr>
              <w:t>7 years</w:t>
            </w:r>
          </w:p>
        </w:tc>
      </w:tr>
      <w:tr>
        <w:tc>
          <w:tcPr>
            <w:tcW w:type="dxa" w:w="2304"/>
            <w:vAlign w:val="top"/>
            <w:shd w:val="clear" w:color="auto" w:fill="EDF2F7"/>
          </w:tcPr>
          <w:p>
            <w:pPr>
              <w:spacing w:before="40" w:after="40"/>
            </w:pPr>
            <w:r/>
            <w:r>
              <w:rPr>
                <w:b/>
                <w:sz w:val="19"/>
              </w:rPr>
              <w:t>Buyer-level</w:t>
            </w:r>
          </w:p>
        </w:tc>
        <w:tc>
          <w:tcPr>
            <w:tcW w:type="dxa" w:w="5760"/>
            <w:vAlign w:val="top"/>
            <w:shd w:val="clear" w:color="auto" w:fill="EDF2F7"/>
          </w:tcPr>
          <w:p>
            <w:pPr>
              <w:spacing w:before="40" w:after="40"/>
            </w:pPr>
            <w:r/>
            <w:r>
              <w:rPr>
                <w:sz w:val="19"/>
              </w:rPr>
              <w:t>Enrichment sources queried, raw responses, conflict values, contact selections</w:t>
            </w:r>
          </w:p>
        </w:tc>
        <w:tc>
          <w:tcPr>
            <w:tcW w:type="dxa" w:w="1728"/>
            <w:vAlign w:val="top"/>
            <w:shd w:val="clear" w:color="auto" w:fill="EDF2F7"/>
          </w:tcPr>
          <w:p>
            <w:pPr>
              <w:spacing w:before="40" w:after="40"/>
            </w:pPr>
            <w:r/>
            <w:r>
              <w:rPr>
                <w:sz w:val="19"/>
              </w:rPr>
              <w:t>7 years</w:t>
            </w:r>
          </w:p>
        </w:tc>
      </w:tr>
      <w:tr>
        <w:tc>
          <w:tcPr>
            <w:tcW w:type="dxa" w:w="2304"/>
            <w:vAlign w:val="top"/>
          </w:tcPr>
          <w:p>
            <w:pPr>
              <w:spacing w:before="40" w:after="40"/>
            </w:pPr>
            <w:r/>
            <w:r>
              <w:rPr>
                <w:b/>
                <w:sz w:val="19"/>
              </w:rPr>
              <w:t>Contact-level</w:t>
            </w:r>
          </w:p>
        </w:tc>
        <w:tc>
          <w:tcPr>
            <w:tcW w:type="dxa" w:w="5760"/>
            <w:vAlign w:val="top"/>
          </w:tcPr>
          <w:p>
            <w:pPr>
              <w:spacing w:before="40" w:after="40"/>
            </w:pPr>
            <w:r/>
            <w:r>
              <w:rPr>
                <w:sz w:val="19"/>
              </w:rPr>
              <w:t>Every email draft (pre + post edit), send timestamp, delivery, opens, clicks, replies, call notes</w:t>
            </w:r>
          </w:p>
        </w:tc>
        <w:tc>
          <w:tcPr>
            <w:tcW w:type="dxa" w:w="1728"/>
            <w:vAlign w:val="top"/>
          </w:tcPr>
          <w:p>
            <w:pPr>
              <w:spacing w:before="40" w:after="40"/>
            </w:pPr>
            <w:r/>
            <w:r>
              <w:rPr>
                <w:sz w:val="19"/>
              </w:rPr>
              <w:t>7 years</w:t>
            </w:r>
          </w:p>
        </w:tc>
      </w:tr>
      <w:tr>
        <w:tc>
          <w:tcPr>
            <w:tcW w:type="dxa" w:w="2304"/>
            <w:vAlign w:val="top"/>
            <w:shd w:val="clear" w:color="auto" w:fill="EDF2F7"/>
          </w:tcPr>
          <w:p>
            <w:pPr>
              <w:spacing w:before="40" w:after="40"/>
            </w:pPr>
            <w:r/>
            <w:r>
              <w:rPr>
                <w:b/>
                <w:sz w:val="19"/>
              </w:rPr>
              <w:t>Document-level</w:t>
            </w:r>
          </w:p>
        </w:tc>
        <w:tc>
          <w:tcPr>
            <w:tcW w:type="dxa" w:w="5760"/>
            <w:vAlign w:val="top"/>
            <w:shd w:val="clear" w:color="auto" w:fill="EDF2F7"/>
          </w:tcPr>
          <w:p>
            <w:pPr>
              <w:spacing w:before="40" w:after="40"/>
            </w:pPr>
            <w:r/>
            <w:r>
              <w:rPr>
                <w:sz w:val="19"/>
              </w:rPr>
              <w:t>NDA versions sent + returned, diff outputs, DocuSign envelope IDs, signed PDF hashes</w:t>
            </w:r>
          </w:p>
        </w:tc>
        <w:tc>
          <w:tcPr>
            <w:tcW w:type="dxa" w:w="1728"/>
            <w:vAlign w:val="top"/>
            <w:shd w:val="clear" w:color="auto" w:fill="EDF2F7"/>
          </w:tcPr>
          <w:p>
            <w:pPr>
              <w:spacing w:before="40" w:after="40"/>
            </w:pPr>
            <w:r/>
            <w:r>
              <w:rPr>
                <w:sz w:val="19"/>
              </w:rPr>
              <w:t>Permanent</w:t>
            </w:r>
          </w:p>
        </w:tc>
      </w:tr>
      <w:tr>
        <w:tc>
          <w:tcPr>
            <w:tcW w:type="dxa" w:w="2304"/>
            <w:vAlign w:val="top"/>
          </w:tcPr>
          <w:p>
            <w:pPr>
              <w:spacing w:before="40" w:after="40"/>
            </w:pPr>
            <w:r/>
            <w:r>
              <w:rPr>
                <w:b/>
                <w:sz w:val="19"/>
              </w:rPr>
              <w:t>Agent action</w:t>
            </w:r>
          </w:p>
        </w:tc>
        <w:tc>
          <w:tcPr>
            <w:tcW w:type="dxa" w:w="5760"/>
            <w:vAlign w:val="top"/>
          </w:tcPr>
          <w:p>
            <w:pPr>
              <w:spacing w:before="40" w:after="40"/>
            </w:pPr>
            <w:r/>
            <w:r>
              <w:rPr>
                <w:sz w:val="19"/>
              </w:rPr>
              <w:t>Every tool call, inputs, outputs, HITL decision points, advisor edits</w:t>
            </w:r>
          </w:p>
        </w:tc>
        <w:tc>
          <w:tcPr>
            <w:tcW w:type="dxa" w:w="1728"/>
            <w:vAlign w:val="top"/>
          </w:tcPr>
          <w:p>
            <w:pPr>
              <w:spacing w:before="40" w:after="40"/>
            </w:pPr>
            <w:r/>
            <w:r>
              <w:rPr>
                <w:sz w:val="19"/>
              </w:rPr>
              <w:t>2 years rolling</w:t>
            </w:r>
          </w:p>
        </w:tc>
      </w:tr>
    </w:tbl>
    <w:p>
      <w:pPr>
        <w:spacing w:after="40"/>
      </w:pPr>
    </w:p>
    <w:p>
      <w:pPr>
        <w:spacing w:before="240" w:after="120"/>
      </w:pPr>
      <w:r>
        <w:rPr>
          <w:b/>
          <w:color w:val="1F3A5F"/>
          <w:sz w:val="26"/>
        </w:rPr>
        <w:t>13.4 User Model</w:t>
      </w:r>
    </w:p>
    <w:p>
      <w:pPr>
        <w:pStyle w:val="ListBullet"/>
        <w:spacing w:after="40"/>
      </w:pPr>
      <w:r>
        <w:rPr>
          <w:sz w:val="21"/>
        </w:rPr>
        <w:t>Built multi-user from day one; deployed initially as single-user (Jeremy).</w:t>
      </w:r>
    </w:p>
    <w:p>
      <w:pPr>
        <w:pStyle w:val="ListBullet"/>
        <w:spacing w:after="40"/>
      </w:pPr>
      <w:r>
        <w:rPr>
          <w:sz w:val="21"/>
        </w:rPr>
        <w:t>Roles in code — Admin (full control), Operator (draft + queue, no send), Viewer (read-only).</w:t>
      </w:r>
    </w:p>
    <w:p>
      <w:pPr>
        <w:pStyle w:val="ListBullet"/>
        <w:spacing w:after="40"/>
      </w:pPr>
      <w:r>
        <w:rPr>
          <w:sz w:val="21"/>
        </w:rPr>
        <w:t>No client-facing access.</w:t>
      </w:r>
    </w:p>
    <w:p>
      <w:pPr>
        <w:spacing w:before="240" w:after="120"/>
      </w:pPr>
      <w:r>
        <w:rPr>
          <w:b/>
          <w:color w:val="1F3A5F"/>
          <w:sz w:val="26"/>
        </w:rPr>
        <w:t>13.5 Compliance Footer</w:t>
      </w:r>
    </w:p>
    <w:p>
      <w:pPr>
        <w:spacing w:before="0" w:after="80"/>
      </w:pPr>
      <w:r>
        <w:rPr>
          <w:b w:val="0"/>
          <w:i w:val="0"/>
          <w:sz w:val="21"/>
        </w:rPr>
        <w:t>Minimal compliant footer (sender identification + one-line unsubscribe) included in spec, consistent with NZ Unsolicited Electronic Messages Act 2007. Per advisor's legal advice, the footer may be removed at build time. Advisor accepts residual regulatory risk on the basis that outreach is one-time, to known individuals, with no subscription model.</w:t>
      </w:r>
    </w:p>
    <w:p>
      <w:r>
        <w:br w:type="page"/>
      </w:r>
    </w:p>
    <w:p>
      <w:pPr>
        <w:spacing w:before="240" w:after="120"/>
        <w:pBdr>
          <w:bottom w:val="single" w:sz="6" w:space="1" w:color="1F3A5F"/>
        </w:pBdr>
      </w:pPr>
      <w:r>
        <w:rPr>
          <w:b/>
          <w:color w:val="1F3A5F"/>
          <w:sz w:val="32"/>
        </w:rPr>
        <w:t>14. Data Model</w:t>
      </w:r>
    </w:p>
    <w:p>
      <w:pPr>
        <w:spacing w:before="0" w:after="80"/>
      </w:pPr>
      <w:r>
        <w:rPr>
          <w:b w:val="0"/>
          <w:i w:val="0"/>
          <w:sz w:val="21"/>
        </w:rPr>
        <w:t>Core entities: Mandate, Buyer, Contact, Document, EmailSequence, EmailMessage, NDARecord, AuditEvent. All entities use UUID primary keys. Conflict-prone fields (emails, phones) are modelled as arrays of (value, source, verified) tuples preserving full enrichment provenance.</w:t>
      </w:r>
    </w:p>
    <w:p>
      <w:pPr>
        <w:spacing w:before="120" w:after="40"/>
        <w:jc w:val="center"/>
      </w:pPr>
      <w:r>
        <w:drawing>
          <wp:inline xmlns:a="http://schemas.openxmlformats.org/drawingml/2006/main" xmlns:pic="http://schemas.openxmlformats.org/drawingml/2006/picture">
            <wp:extent cx="6035040" cy="3229435"/>
            <wp:docPr id="6" name="Picture 6"/>
            <wp:cNvGraphicFramePr>
              <a:graphicFrameLocks noChangeAspect="1"/>
            </wp:cNvGraphicFramePr>
            <a:graphic>
              <a:graphicData uri="http://schemas.openxmlformats.org/drawingml/2006/picture">
                <pic:pic>
                  <pic:nvPicPr>
                    <pic:cNvPr id="0" name="06_data_model.png"/>
                    <pic:cNvPicPr/>
                  </pic:nvPicPr>
                  <pic:blipFill>
                    <a:blip r:embed="rId14"/>
                    <a:stretch>
                      <a:fillRect/>
                    </a:stretch>
                  </pic:blipFill>
                  <pic:spPr>
                    <a:xfrm>
                      <a:off x="0" y="0"/>
                      <a:ext cx="6035040" cy="3229435"/>
                    </a:xfrm>
                    <a:prstGeom prst="rect"/>
                  </pic:spPr>
                </pic:pic>
              </a:graphicData>
            </a:graphic>
          </wp:inline>
        </w:drawing>
      </w:r>
    </w:p>
    <w:p>
      <w:pPr>
        <w:spacing w:after="160"/>
        <w:jc w:val="center"/>
      </w:pPr>
      <w:r>
        <w:rPr>
          <w:i/>
          <w:color w:val="4A5568"/>
          <w:sz w:val="18"/>
        </w:rPr>
        <w:t>Figure 6. Core data model — entity relationships.</w:t>
      </w:r>
    </w:p>
    <w:p>
      <w:pPr>
        <w:spacing w:before="240" w:after="120"/>
      </w:pPr>
      <w:r>
        <w:rPr>
          <w:b/>
          <w:color w:val="1F3A5F"/>
          <w:sz w:val="26"/>
        </w:rPr>
        <w:t>14.1 Key Design Decisions</w:t>
      </w:r>
    </w:p>
    <w:p>
      <w:pPr>
        <w:pStyle w:val="ListBullet"/>
        <w:spacing w:after="40"/>
      </w:pPr>
      <w:r>
        <w:rPr>
          <w:sz w:val="21"/>
        </w:rPr>
        <w:t>Contact.emails[] and Contact.phones[] are arrays with source attribution rather than scalar fields, preserving conflicting enrichment data.</w:t>
      </w:r>
    </w:p>
    <w:p>
      <w:pPr>
        <w:pStyle w:val="ListBullet"/>
        <w:spacing w:after="40"/>
      </w:pPr>
      <w:r>
        <w:rPr>
          <w:sz w:val="21"/>
        </w:rPr>
        <w:t>Contact.rank is 1–6, with source ∈ {seed, discovered} distinguishing comparables.ai vs agent-discovered contacts.</w:t>
      </w:r>
    </w:p>
    <w:p>
      <w:pPr>
        <w:pStyle w:val="ListBullet"/>
        <w:spacing w:after="40"/>
      </w:pPr>
      <w:r>
        <w:rPr>
          <w:sz w:val="21"/>
        </w:rPr>
        <w:t>EmailSequence is contact-scoped (not buyer-scoped) so each recipient runs independently.</w:t>
      </w:r>
    </w:p>
    <w:p>
      <w:pPr>
        <w:pStyle w:val="ListBullet"/>
        <w:spacing w:after="40"/>
      </w:pPr>
      <w:r>
        <w:rPr>
          <w:sz w:val="21"/>
        </w:rPr>
        <w:t>NDARecord is buyer-scoped (signed by the legal entity, not the individual); send_mode captures blank vs pre-filled; buyer_sign_path captures docusign vs wetink.</w:t>
      </w:r>
    </w:p>
    <w:p>
      <w:pPr>
        <w:pStyle w:val="ListBullet"/>
        <w:spacing w:after="40"/>
      </w:pPr>
      <w:r>
        <w:rPr>
          <w:sz w:val="21"/>
        </w:rPr>
        <w:t>Document.active_from supports mid-mandate document version changes without retroactively altering what previous contacts received.</w:t>
      </w:r>
    </w:p>
    <w:p>
      <w:pPr>
        <w:pStyle w:val="ListBullet"/>
        <w:spacing w:after="40"/>
      </w:pPr>
      <w:r>
        <w:rPr>
          <w:sz w:val="21"/>
        </w:rPr>
        <w:t>Buyer.entry_path distinguishes standard sequence buyers from direct-NDA buyers.</w:t>
      </w:r>
    </w:p>
    <w:p>
      <w:pPr>
        <w:pStyle w:val="ListBullet"/>
        <w:spacing w:after="40"/>
      </w:pPr>
      <w:r>
        <w:rPr>
          <w:sz w:val="21"/>
        </w:rPr>
        <w:t>AuditEvent.payload is JSONB to accommodate variable event shapes across the five layers.</w:t>
      </w:r>
    </w:p>
    <w:p>
      <w:pPr>
        <w:spacing w:before="240" w:after="120"/>
        <w:pBdr>
          <w:bottom w:val="single" w:sz="6" w:space="1" w:color="1F3A5F"/>
        </w:pBdr>
      </w:pPr>
      <w:r>
        <w:rPr>
          <w:b/>
          <w:color w:val="1F3A5F"/>
          <w:sz w:val="32"/>
        </w:rPr>
        <w:t>15. Current vs Future State</w:t>
      </w:r>
    </w:p>
    <w:p>
      <w:pPr>
        <w:spacing w:before="0" w:after="80"/>
      </w:pPr>
      <w:r>
        <w:rPr>
          <w:b w:val="0"/>
          <w:i w:val="0"/>
          <w:sz w:val="21"/>
        </w:rPr>
        <w:t>Stage-by-stage map of the manual workflow today versus the platform-supported workflow. Drawn from the current-state walkthrough captured during the inputs deep dive.</w:t>
      </w:r>
    </w:p>
    <w:p>
      <w:pPr>
        <w:spacing w:before="120" w:after="40"/>
        <w:jc w:val="center"/>
      </w:pPr>
      <w:r>
        <w:drawing>
          <wp:inline xmlns:a="http://schemas.openxmlformats.org/drawingml/2006/main" xmlns:pic="http://schemas.openxmlformats.org/drawingml/2006/picture">
            <wp:extent cx="6035040" cy="3463453"/>
            <wp:docPr id="7" name="Picture 7"/>
            <wp:cNvGraphicFramePr>
              <a:graphicFrameLocks noChangeAspect="1"/>
            </wp:cNvGraphicFramePr>
            <a:graphic>
              <a:graphicData uri="http://schemas.openxmlformats.org/drawingml/2006/picture">
                <pic:pic>
                  <pic:nvPicPr>
                    <pic:cNvPr id="0" name="08_current_vs_future.png"/>
                    <pic:cNvPicPr/>
                  </pic:nvPicPr>
                  <pic:blipFill>
                    <a:blip r:embed="rId15"/>
                    <a:stretch>
                      <a:fillRect/>
                    </a:stretch>
                  </pic:blipFill>
                  <pic:spPr>
                    <a:xfrm>
                      <a:off x="0" y="0"/>
                      <a:ext cx="6035040" cy="3463453"/>
                    </a:xfrm>
                    <a:prstGeom prst="rect"/>
                  </pic:spPr>
                </pic:pic>
              </a:graphicData>
            </a:graphic>
          </wp:inline>
        </w:drawing>
      </w:r>
    </w:p>
    <w:p>
      <w:pPr>
        <w:spacing w:after="160"/>
        <w:jc w:val="center"/>
      </w:pPr>
      <w:r>
        <w:rPr>
          <w:i/>
          <w:color w:val="4A5568"/>
          <w:sz w:val="18"/>
        </w:rPr>
        <w:t>Figure 8. Current vs future state side-by-side.</w:t>
      </w:r>
    </w:p>
    <w:p>
      <w:pPr>
        <w:spacing w:before="240" w:after="120"/>
      </w:pPr>
      <w:r>
        <w:rPr>
          <w:b/>
          <w:color w:val="1F3A5F"/>
          <w:sz w:val="26"/>
        </w:rPr>
        <w:t>15.1 Stage-by-Stage Map</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432"/>
            <w:shd w:val="clear" w:color="auto" w:fill="1F3A5F"/>
            <w:vAlign w:val="center"/>
          </w:tcPr>
          <w:p>
            <w:pPr>
              <w:spacing w:before="40" w:after="40"/>
            </w:pPr>
            <w:r/>
            <w:r>
              <w:rPr>
                <w:b/>
                <w:color w:val="FFFFFF"/>
                <w:sz w:val="20"/>
              </w:rPr>
              <w:t>#</w:t>
            </w:r>
          </w:p>
        </w:tc>
        <w:tc>
          <w:tcPr>
            <w:tcW w:type="dxa" w:w="2016"/>
            <w:shd w:val="clear" w:color="auto" w:fill="1F3A5F"/>
            <w:vAlign w:val="center"/>
          </w:tcPr>
          <w:p>
            <w:pPr>
              <w:spacing w:before="40" w:after="40"/>
            </w:pPr>
            <w:r/>
            <w:r>
              <w:rPr>
                <w:b/>
                <w:color w:val="FFFFFF"/>
                <w:sz w:val="20"/>
              </w:rPr>
              <w:t>Stage</w:t>
            </w:r>
          </w:p>
        </w:tc>
        <w:tc>
          <w:tcPr>
            <w:tcW w:type="dxa" w:w="2448"/>
            <w:shd w:val="clear" w:color="auto" w:fill="1F3A5F"/>
            <w:vAlign w:val="center"/>
          </w:tcPr>
          <w:p>
            <w:pPr>
              <w:spacing w:before="40" w:after="40"/>
            </w:pPr>
            <w:r/>
            <w:r>
              <w:rPr>
                <w:b/>
                <w:color w:val="FFFFFF"/>
                <w:sz w:val="20"/>
              </w:rPr>
              <w:t>Today</w:t>
            </w:r>
          </w:p>
        </w:tc>
        <w:tc>
          <w:tcPr>
            <w:tcW w:type="dxa" w:w="2448"/>
            <w:shd w:val="clear" w:color="auto" w:fill="1F3A5F"/>
            <w:vAlign w:val="center"/>
          </w:tcPr>
          <w:p>
            <w:pPr>
              <w:spacing w:before="40" w:after="40"/>
            </w:pPr>
            <w:r/>
            <w:r>
              <w:rPr>
                <w:b/>
                <w:color w:val="FFFFFF"/>
                <w:sz w:val="20"/>
              </w:rPr>
              <w:t>Future</w:t>
            </w:r>
          </w:p>
        </w:tc>
        <w:tc>
          <w:tcPr>
            <w:tcW w:type="dxa" w:w="1872"/>
            <w:shd w:val="clear" w:color="auto" w:fill="1F3A5F"/>
            <w:vAlign w:val="center"/>
          </w:tcPr>
          <w:p>
            <w:pPr>
              <w:spacing w:before="40" w:after="40"/>
            </w:pPr>
            <w:r/>
            <w:r>
              <w:rPr>
                <w:b/>
                <w:color w:val="FFFFFF"/>
                <w:sz w:val="20"/>
              </w:rPr>
              <w:t>Who acts</w:t>
            </w:r>
          </w:p>
        </w:tc>
      </w:tr>
      <w:tr>
        <w:tc>
          <w:tcPr>
            <w:tcW w:type="dxa" w:w="432"/>
            <w:vAlign w:val="top"/>
          </w:tcPr>
          <w:p>
            <w:pPr>
              <w:spacing w:before="40" w:after="40"/>
            </w:pPr>
            <w:r/>
            <w:r>
              <w:rPr>
                <w:b/>
                <w:sz w:val="19"/>
              </w:rPr>
              <w:t>1</w:t>
            </w:r>
          </w:p>
        </w:tc>
        <w:tc>
          <w:tcPr>
            <w:tcW w:type="dxa" w:w="2016"/>
            <w:vAlign w:val="top"/>
          </w:tcPr>
          <w:p>
            <w:pPr>
              <w:spacing w:before="40" w:after="40"/>
            </w:pPr>
            <w:r/>
            <w:r>
              <w:rPr>
                <w:sz w:val="19"/>
              </w:rPr>
              <w:t>Buyer identification</w:t>
            </w:r>
          </w:p>
        </w:tc>
        <w:tc>
          <w:tcPr>
            <w:tcW w:type="dxa" w:w="2448"/>
            <w:vAlign w:val="top"/>
          </w:tcPr>
          <w:p>
            <w:pPr>
              <w:spacing w:before="40" w:after="40"/>
            </w:pPr>
            <w:r/>
            <w:r>
              <w:rPr>
                <w:sz w:val="19"/>
              </w:rPr>
              <w:t>Conversation + Rogo + comparables.ai</w:t>
            </w:r>
          </w:p>
        </w:tc>
        <w:tc>
          <w:tcPr>
            <w:tcW w:type="dxa" w:w="2448"/>
            <w:vAlign w:val="top"/>
          </w:tcPr>
          <w:p>
            <w:pPr>
              <w:spacing w:before="40" w:after="40"/>
            </w:pPr>
            <w:r/>
            <w:r>
              <w:rPr>
                <w:sz w:val="19"/>
              </w:rPr>
              <w:t>Unchanged — outside platform</w:t>
            </w:r>
          </w:p>
        </w:tc>
        <w:tc>
          <w:tcPr>
            <w:tcW w:type="dxa" w:w="1872"/>
            <w:vAlign w:val="top"/>
          </w:tcPr>
          <w:p>
            <w:pPr>
              <w:spacing w:before="40" w:after="40"/>
            </w:pPr>
            <w:r/>
            <w:r>
              <w:rPr>
                <w:sz w:val="19"/>
              </w:rPr>
              <w:t>Human</w:t>
            </w:r>
          </w:p>
        </w:tc>
      </w:tr>
      <w:tr>
        <w:tc>
          <w:tcPr>
            <w:tcW w:type="dxa" w:w="432"/>
            <w:vAlign w:val="top"/>
            <w:shd w:val="clear" w:color="auto" w:fill="EDF2F7"/>
          </w:tcPr>
          <w:p>
            <w:pPr>
              <w:spacing w:before="40" w:after="40"/>
            </w:pPr>
            <w:r/>
            <w:r>
              <w:rPr>
                <w:b/>
                <w:sz w:val="19"/>
              </w:rPr>
              <w:t>2</w:t>
            </w:r>
          </w:p>
        </w:tc>
        <w:tc>
          <w:tcPr>
            <w:tcW w:type="dxa" w:w="2016"/>
            <w:vAlign w:val="top"/>
            <w:shd w:val="clear" w:color="auto" w:fill="EDF2F7"/>
          </w:tcPr>
          <w:p>
            <w:pPr>
              <w:spacing w:before="40" w:after="40"/>
            </w:pPr>
            <w:r/>
            <w:r>
              <w:rPr>
                <w:sz w:val="19"/>
              </w:rPr>
              <w:t>Client sign-off</w:t>
            </w:r>
          </w:p>
        </w:tc>
        <w:tc>
          <w:tcPr>
            <w:tcW w:type="dxa" w:w="2448"/>
            <w:vAlign w:val="top"/>
            <w:shd w:val="clear" w:color="auto" w:fill="EDF2F7"/>
          </w:tcPr>
          <w:p>
            <w:pPr>
              <w:spacing w:before="40" w:after="40"/>
            </w:pPr>
            <w:r/>
            <w:r>
              <w:rPr>
                <w:sz w:val="19"/>
              </w:rPr>
              <w:t>Email + Teams meetings (1–2 weeks)</w:t>
            </w:r>
          </w:p>
        </w:tc>
        <w:tc>
          <w:tcPr>
            <w:tcW w:type="dxa" w:w="2448"/>
            <w:vAlign w:val="top"/>
            <w:shd w:val="clear" w:color="auto" w:fill="EDF2F7"/>
          </w:tcPr>
          <w:p>
            <w:pPr>
              <w:spacing w:before="40" w:after="40"/>
            </w:pPr>
            <w:r/>
            <w:r>
              <w:rPr>
                <w:sz w:val="19"/>
              </w:rPr>
              <w:t>Unchanged — outside platform</w:t>
            </w:r>
          </w:p>
        </w:tc>
        <w:tc>
          <w:tcPr>
            <w:tcW w:type="dxa" w:w="1872"/>
            <w:vAlign w:val="top"/>
            <w:shd w:val="clear" w:color="auto" w:fill="EDF2F7"/>
          </w:tcPr>
          <w:p>
            <w:pPr>
              <w:spacing w:before="40" w:after="40"/>
            </w:pPr>
            <w:r/>
            <w:r>
              <w:rPr>
                <w:sz w:val="19"/>
              </w:rPr>
              <w:t>Human</w:t>
            </w:r>
          </w:p>
        </w:tc>
      </w:tr>
      <w:tr>
        <w:tc>
          <w:tcPr>
            <w:tcW w:type="dxa" w:w="432"/>
            <w:vAlign w:val="top"/>
          </w:tcPr>
          <w:p>
            <w:pPr>
              <w:spacing w:before="40" w:after="40"/>
            </w:pPr>
            <w:r/>
            <w:r>
              <w:rPr>
                <w:b/>
                <w:sz w:val="19"/>
              </w:rPr>
              <w:t>3</w:t>
            </w:r>
          </w:p>
        </w:tc>
        <w:tc>
          <w:tcPr>
            <w:tcW w:type="dxa" w:w="2016"/>
            <w:vAlign w:val="top"/>
          </w:tcPr>
          <w:p>
            <w:pPr>
              <w:spacing w:before="40" w:after="40"/>
            </w:pPr>
            <w:r/>
            <w:r>
              <w:rPr>
                <w:sz w:val="19"/>
              </w:rPr>
              <w:t>Mandate setup</w:t>
            </w:r>
          </w:p>
        </w:tc>
        <w:tc>
          <w:tcPr>
            <w:tcW w:type="dxa" w:w="2448"/>
            <w:vAlign w:val="top"/>
          </w:tcPr>
          <w:p>
            <w:pPr>
              <w:spacing w:before="40" w:after="40"/>
            </w:pPr>
            <w:r/>
            <w:r>
              <w:rPr>
                <w:sz w:val="19"/>
              </w:rPr>
              <w:t>Files scattered, no central tool</w:t>
            </w:r>
          </w:p>
        </w:tc>
        <w:tc>
          <w:tcPr>
            <w:tcW w:type="dxa" w:w="2448"/>
            <w:vAlign w:val="top"/>
          </w:tcPr>
          <w:p>
            <w:pPr>
              <w:spacing w:before="40" w:after="40"/>
            </w:pPr>
            <w:r/>
            <w:r>
              <w:rPr>
                <w:sz w:val="19"/>
              </w:rPr>
              <w:t>Single setup form (~10 min)</w:t>
            </w:r>
          </w:p>
        </w:tc>
        <w:tc>
          <w:tcPr>
            <w:tcW w:type="dxa" w:w="1872"/>
            <w:vAlign w:val="top"/>
          </w:tcPr>
          <w:p>
            <w:pPr>
              <w:spacing w:before="40" w:after="40"/>
            </w:pPr>
            <w:r/>
            <w:r>
              <w:rPr>
                <w:sz w:val="19"/>
              </w:rPr>
              <w:t>Human</w:t>
            </w:r>
          </w:p>
        </w:tc>
      </w:tr>
      <w:tr>
        <w:tc>
          <w:tcPr>
            <w:tcW w:type="dxa" w:w="432"/>
            <w:vAlign w:val="top"/>
            <w:shd w:val="clear" w:color="auto" w:fill="EDF2F7"/>
          </w:tcPr>
          <w:p>
            <w:pPr>
              <w:spacing w:before="40" w:after="40"/>
            </w:pPr>
            <w:r/>
            <w:r>
              <w:rPr>
                <w:b/>
                <w:sz w:val="19"/>
              </w:rPr>
              <w:t>4</w:t>
            </w:r>
          </w:p>
        </w:tc>
        <w:tc>
          <w:tcPr>
            <w:tcW w:type="dxa" w:w="2016"/>
            <w:vAlign w:val="top"/>
            <w:shd w:val="clear" w:color="auto" w:fill="EDF2F7"/>
          </w:tcPr>
          <w:p>
            <w:pPr>
              <w:spacing w:before="40" w:after="40"/>
            </w:pPr>
            <w:r/>
            <w:r>
              <w:rPr>
                <w:sz w:val="19"/>
              </w:rPr>
              <w:t>Buyer + contact import</w:t>
            </w:r>
          </w:p>
        </w:tc>
        <w:tc>
          <w:tcPr>
            <w:tcW w:type="dxa" w:w="2448"/>
            <w:vAlign w:val="top"/>
            <w:shd w:val="clear" w:color="auto" w:fill="EDF2F7"/>
          </w:tcPr>
          <w:p>
            <w:pPr>
              <w:spacing w:before="40" w:after="40"/>
            </w:pPr>
            <w:r/>
            <w:r>
              <w:rPr>
                <w:sz w:val="19"/>
              </w:rPr>
              <w:t>Manual buyer tracker Excel</w:t>
            </w:r>
          </w:p>
        </w:tc>
        <w:tc>
          <w:tcPr>
            <w:tcW w:type="dxa" w:w="2448"/>
            <w:vAlign w:val="top"/>
            <w:shd w:val="clear" w:color="auto" w:fill="EDF2F7"/>
          </w:tcPr>
          <w:p>
            <w:pPr>
              <w:spacing w:before="40" w:after="40"/>
            </w:pPr>
            <w:r/>
            <w:r>
              <w:rPr>
                <w:sz w:val="19"/>
              </w:rPr>
              <w:t>Two comparables.ai XLSX files + exclusion list; fuzzy-joined</w:t>
            </w:r>
          </w:p>
        </w:tc>
        <w:tc>
          <w:tcPr>
            <w:tcW w:type="dxa" w:w="1872"/>
            <w:vAlign w:val="top"/>
            <w:shd w:val="clear" w:color="auto" w:fill="EDF2F7"/>
          </w:tcPr>
          <w:p>
            <w:pPr>
              <w:spacing w:before="40" w:after="40"/>
            </w:pPr>
            <w:r/>
            <w:r>
              <w:rPr>
                <w:sz w:val="19"/>
              </w:rPr>
              <w:t>Human upload, agent processes</w:t>
            </w:r>
          </w:p>
        </w:tc>
      </w:tr>
      <w:tr>
        <w:tc>
          <w:tcPr>
            <w:tcW w:type="dxa" w:w="432"/>
            <w:vAlign w:val="top"/>
          </w:tcPr>
          <w:p>
            <w:pPr>
              <w:spacing w:before="40" w:after="40"/>
            </w:pPr>
            <w:r/>
            <w:r>
              <w:rPr>
                <w:b/>
                <w:sz w:val="19"/>
              </w:rPr>
              <w:t>5</w:t>
            </w:r>
          </w:p>
        </w:tc>
        <w:tc>
          <w:tcPr>
            <w:tcW w:type="dxa" w:w="2016"/>
            <w:vAlign w:val="top"/>
          </w:tcPr>
          <w:p>
            <w:pPr>
              <w:spacing w:before="40" w:after="40"/>
            </w:pPr>
            <w:r/>
            <w:r>
              <w:rPr>
                <w:sz w:val="19"/>
              </w:rPr>
              <w:t>Exclusion validation</w:t>
            </w:r>
          </w:p>
        </w:tc>
        <w:tc>
          <w:tcPr>
            <w:tcW w:type="dxa" w:w="2448"/>
            <w:vAlign w:val="top"/>
          </w:tcPr>
          <w:p>
            <w:pPr>
              <w:spacing w:before="40" w:after="40"/>
            </w:pPr>
            <w:r/>
            <w:r>
              <w:rPr>
                <w:sz w:val="19"/>
              </w:rPr>
              <w:t>Visual check</w:t>
            </w:r>
          </w:p>
        </w:tc>
        <w:tc>
          <w:tcPr>
            <w:tcW w:type="dxa" w:w="2448"/>
            <w:vAlign w:val="top"/>
          </w:tcPr>
          <w:p>
            <w:pPr>
              <w:spacing w:before="40" w:after="40"/>
            </w:pPr>
            <w:r/>
            <w:r>
              <w:rPr>
                <w:sz w:val="19"/>
              </w:rPr>
              <w:t>Hard warning + manual override; company + domain match</w:t>
            </w:r>
          </w:p>
        </w:tc>
        <w:tc>
          <w:tcPr>
            <w:tcW w:type="dxa" w:w="1872"/>
            <w:vAlign w:val="top"/>
          </w:tcPr>
          <w:p>
            <w:pPr>
              <w:spacing w:before="40" w:after="40"/>
            </w:pPr>
            <w:r/>
            <w:r>
              <w:rPr>
                <w:sz w:val="19"/>
              </w:rPr>
              <w:t>Agent flags, human confirms</w:t>
            </w:r>
          </w:p>
        </w:tc>
      </w:tr>
      <w:tr>
        <w:tc>
          <w:tcPr>
            <w:tcW w:type="dxa" w:w="432"/>
            <w:vAlign w:val="top"/>
            <w:shd w:val="clear" w:color="auto" w:fill="EDF2F7"/>
          </w:tcPr>
          <w:p>
            <w:pPr>
              <w:spacing w:before="40" w:after="40"/>
            </w:pPr>
            <w:r/>
            <w:r>
              <w:rPr>
                <w:b/>
                <w:sz w:val="19"/>
              </w:rPr>
              <w:t>6</w:t>
            </w:r>
          </w:p>
        </w:tc>
        <w:tc>
          <w:tcPr>
            <w:tcW w:type="dxa" w:w="2016"/>
            <w:vAlign w:val="top"/>
            <w:shd w:val="clear" w:color="auto" w:fill="EDF2F7"/>
          </w:tcPr>
          <w:p>
            <w:pPr>
              <w:spacing w:before="40" w:after="40"/>
            </w:pPr>
            <w:r/>
            <w:r>
              <w:rPr>
                <w:sz w:val="19"/>
              </w:rPr>
              <w:t>Contact ranking</w:t>
            </w:r>
          </w:p>
        </w:tc>
        <w:tc>
          <w:tcPr>
            <w:tcW w:type="dxa" w:w="2448"/>
            <w:vAlign w:val="top"/>
            <w:shd w:val="clear" w:color="auto" w:fill="EDF2F7"/>
          </w:tcPr>
          <w:p>
            <w:pPr>
              <w:spacing w:before="40" w:after="40"/>
            </w:pPr>
            <w:r/>
            <w:r>
              <w:rPr>
                <w:sz w:val="19"/>
              </w:rPr>
              <w:t>Mental</w:t>
            </w:r>
          </w:p>
        </w:tc>
        <w:tc>
          <w:tcPr>
            <w:tcW w:type="dxa" w:w="2448"/>
            <w:vAlign w:val="top"/>
            <w:shd w:val="clear" w:color="auto" w:fill="EDF2F7"/>
          </w:tcPr>
          <w:p>
            <w:pPr>
              <w:spacing w:before="40" w:after="40"/>
            </w:pPr>
            <w:r/>
            <w:r>
              <w:rPr>
                <w:sz w:val="19"/>
              </w:rPr>
              <w:t>Agent applies geographic waterfall, recommends</w:t>
            </w:r>
          </w:p>
        </w:tc>
        <w:tc>
          <w:tcPr>
            <w:tcW w:type="dxa" w:w="1872"/>
            <w:vAlign w:val="top"/>
            <w:shd w:val="clear" w:color="auto" w:fill="EDF2F7"/>
          </w:tcPr>
          <w:p>
            <w:pPr>
              <w:spacing w:before="40" w:after="40"/>
            </w:pPr>
            <w:r/>
            <w:r>
              <w:rPr>
                <w:sz w:val="19"/>
              </w:rPr>
              <w:t>Agent + human confirm</w:t>
            </w:r>
          </w:p>
        </w:tc>
      </w:tr>
      <w:tr>
        <w:tc>
          <w:tcPr>
            <w:tcW w:type="dxa" w:w="432"/>
            <w:vAlign w:val="top"/>
          </w:tcPr>
          <w:p>
            <w:pPr>
              <w:spacing w:before="40" w:after="40"/>
            </w:pPr>
            <w:r/>
            <w:r>
              <w:rPr>
                <w:b/>
                <w:sz w:val="19"/>
              </w:rPr>
              <w:t>7</w:t>
            </w:r>
          </w:p>
        </w:tc>
        <w:tc>
          <w:tcPr>
            <w:tcW w:type="dxa" w:w="2016"/>
            <w:vAlign w:val="top"/>
          </w:tcPr>
          <w:p>
            <w:pPr>
              <w:spacing w:before="40" w:after="40"/>
            </w:pPr>
            <w:r/>
            <w:r>
              <w:rPr>
                <w:sz w:val="19"/>
              </w:rPr>
              <w:t>LinkedIn URL discovery</w:t>
            </w:r>
          </w:p>
        </w:tc>
        <w:tc>
          <w:tcPr>
            <w:tcW w:type="dxa" w:w="2448"/>
            <w:vAlign w:val="top"/>
          </w:tcPr>
          <w:p>
            <w:pPr>
              <w:spacing w:before="40" w:after="40"/>
            </w:pPr>
            <w:r/>
            <w:r>
              <w:rPr>
                <w:sz w:val="19"/>
              </w:rPr>
              <w:t>Manual search</w:t>
            </w:r>
          </w:p>
        </w:tc>
        <w:tc>
          <w:tcPr>
            <w:tcW w:type="dxa" w:w="2448"/>
            <w:vAlign w:val="top"/>
          </w:tcPr>
          <w:p>
            <w:pPr>
              <w:spacing w:before="40" w:after="40"/>
            </w:pPr>
            <w:r/>
            <w:r>
              <w:rPr>
                <w:sz w:val="19"/>
              </w:rPr>
              <w:t>Agent Googles + fuzzy match</w:t>
            </w:r>
          </w:p>
        </w:tc>
        <w:tc>
          <w:tcPr>
            <w:tcW w:type="dxa" w:w="1872"/>
            <w:vAlign w:val="top"/>
          </w:tcPr>
          <w:p>
            <w:pPr>
              <w:spacing w:before="40" w:after="40"/>
            </w:pPr>
            <w:r/>
            <w:r>
              <w:rPr>
                <w:sz w:val="19"/>
              </w:rPr>
              <w:t>Agent</w:t>
            </w:r>
          </w:p>
        </w:tc>
      </w:tr>
      <w:tr>
        <w:tc>
          <w:tcPr>
            <w:tcW w:type="dxa" w:w="432"/>
            <w:vAlign w:val="top"/>
            <w:shd w:val="clear" w:color="auto" w:fill="EDF2F7"/>
          </w:tcPr>
          <w:p>
            <w:pPr>
              <w:spacing w:before="40" w:after="40"/>
            </w:pPr>
            <w:r/>
            <w:r>
              <w:rPr>
                <w:b/>
                <w:sz w:val="19"/>
              </w:rPr>
              <w:t>8</w:t>
            </w:r>
          </w:p>
        </w:tc>
        <w:tc>
          <w:tcPr>
            <w:tcW w:type="dxa" w:w="2016"/>
            <w:vAlign w:val="top"/>
            <w:shd w:val="clear" w:color="auto" w:fill="EDF2F7"/>
          </w:tcPr>
          <w:p>
            <w:pPr>
              <w:spacing w:before="40" w:after="40"/>
            </w:pPr>
            <w:r/>
            <w:r>
              <w:rPr>
                <w:sz w:val="19"/>
              </w:rPr>
              <w:t>Enrichment</w:t>
            </w:r>
          </w:p>
        </w:tc>
        <w:tc>
          <w:tcPr>
            <w:tcW w:type="dxa" w:w="2448"/>
            <w:vAlign w:val="top"/>
            <w:shd w:val="clear" w:color="auto" w:fill="EDF2F7"/>
          </w:tcPr>
          <w:p>
            <w:pPr>
              <w:spacing w:before="40" w:after="40"/>
            </w:pPr>
            <w:r/>
            <w:r>
              <w:rPr>
                <w:sz w:val="19"/>
              </w:rPr>
              <w:t>RocketReach plugin + copy-paste</w:t>
            </w:r>
          </w:p>
        </w:tc>
        <w:tc>
          <w:tcPr>
            <w:tcW w:type="dxa" w:w="2448"/>
            <w:vAlign w:val="top"/>
            <w:shd w:val="clear" w:color="auto" w:fill="EDF2F7"/>
          </w:tcPr>
          <w:p>
            <w:pPr>
              <w:spacing w:before="40" w:after="40"/>
            </w:pPr>
            <w:r/>
            <w:r>
              <w:rPr>
                <w:sz w:val="19"/>
              </w:rPr>
              <w:t>Auto waterfall; conflicts retained</w:t>
            </w:r>
          </w:p>
        </w:tc>
        <w:tc>
          <w:tcPr>
            <w:tcW w:type="dxa" w:w="1872"/>
            <w:vAlign w:val="top"/>
            <w:shd w:val="clear" w:color="auto" w:fill="EDF2F7"/>
          </w:tcPr>
          <w:p>
            <w:pPr>
              <w:spacing w:before="40" w:after="40"/>
            </w:pPr>
            <w:r/>
            <w:r>
              <w:rPr>
                <w:sz w:val="19"/>
              </w:rPr>
              <w:t>Agent</w:t>
            </w:r>
          </w:p>
        </w:tc>
      </w:tr>
      <w:tr>
        <w:tc>
          <w:tcPr>
            <w:tcW w:type="dxa" w:w="432"/>
            <w:vAlign w:val="top"/>
          </w:tcPr>
          <w:p>
            <w:pPr>
              <w:spacing w:before="40" w:after="40"/>
            </w:pPr>
            <w:r/>
            <w:r>
              <w:rPr>
                <w:b/>
                <w:sz w:val="19"/>
              </w:rPr>
              <w:t>9</w:t>
            </w:r>
          </w:p>
        </w:tc>
        <w:tc>
          <w:tcPr>
            <w:tcW w:type="dxa" w:w="2016"/>
            <w:vAlign w:val="top"/>
          </w:tcPr>
          <w:p>
            <w:pPr>
              <w:spacing w:before="40" w:after="40"/>
            </w:pPr>
            <w:r/>
            <w:r>
              <w:rPr>
                <w:sz w:val="19"/>
              </w:rPr>
              <w:t>Clay decision</w:t>
            </w:r>
          </w:p>
        </w:tc>
        <w:tc>
          <w:tcPr>
            <w:tcW w:type="dxa" w:w="2448"/>
            <w:vAlign w:val="top"/>
          </w:tcPr>
          <w:p>
            <w:pPr>
              <w:spacing w:before="40" w:after="40"/>
            </w:pPr>
            <w:r/>
            <w:r>
              <w:rPr>
                <w:sz w:val="19"/>
              </w:rPr>
              <w:t>n/a</w:t>
            </w:r>
          </w:p>
        </w:tc>
        <w:tc>
          <w:tcPr>
            <w:tcW w:type="dxa" w:w="2448"/>
            <w:vAlign w:val="top"/>
          </w:tcPr>
          <w:p>
            <w:pPr>
              <w:spacing w:before="40" w:after="40"/>
            </w:pPr>
            <w:r/>
            <w:r>
              <w:rPr>
                <w:sz w:val="19"/>
              </w:rPr>
              <w:t>HITL gate</w:t>
            </w:r>
          </w:p>
        </w:tc>
        <w:tc>
          <w:tcPr>
            <w:tcW w:type="dxa" w:w="1872"/>
            <w:vAlign w:val="top"/>
          </w:tcPr>
          <w:p>
            <w:pPr>
              <w:spacing w:before="40" w:after="40"/>
            </w:pPr>
            <w:r/>
            <w:r>
              <w:rPr>
                <w:sz w:val="19"/>
              </w:rPr>
              <w:t>Human decides</w:t>
            </w:r>
          </w:p>
        </w:tc>
      </w:tr>
      <w:tr>
        <w:tc>
          <w:tcPr>
            <w:tcW w:type="dxa" w:w="432"/>
            <w:vAlign w:val="top"/>
            <w:shd w:val="clear" w:color="auto" w:fill="EDF2F7"/>
          </w:tcPr>
          <w:p>
            <w:pPr>
              <w:spacing w:before="40" w:after="40"/>
            </w:pPr>
            <w:r/>
            <w:r>
              <w:rPr>
                <w:b/>
                <w:sz w:val="19"/>
              </w:rPr>
              <w:t>10</w:t>
            </w:r>
          </w:p>
        </w:tc>
        <w:tc>
          <w:tcPr>
            <w:tcW w:type="dxa" w:w="2016"/>
            <w:vAlign w:val="top"/>
            <w:shd w:val="clear" w:color="auto" w:fill="EDF2F7"/>
          </w:tcPr>
          <w:p>
            <w:pPr>
              <w:spacing w:before="40" w:after="40"/>
            </w:pPr>
            <w:r/>
            <w:r>
              <w:rPr>
                <w:sz w:val="19"/>
              </w:rPr>
              <w:t>Email verification</w:t>
            </w:r>
          </w:p>
        </w:tc>
        <w:tc>
          <w:tcPr>
            <w:tcW w:type="dxa" w:w="2448"/>
            <w:vAlign w:val="top"/>
            <w:shd w:val="clear" w:color="auto" w:fill="EDF2F7"/>
          </w:tcPr>
          <w:p>
            <w:pPr>
              <w:spacing w:before="40" w:after="40"/>
            </w:pPr>
            <w:r/>
            <w:r>
              <w:rPr>
                <w:sz w:val="19"/>
              </w:rPr>
              <w:t>None</w:t>
            </w:r>
          </w:p>
        </w:tc>
        <w:tc>
          <w:tcPr>
            <w:tcW w:type="dxa" w:w="2448"/>
            <w:vAlign w:val="top"/>
            <w:shd w:val="clear" w:color="auto" w:fill="EDF2F7"/>
          </w:tcPr>
          <w:p>
            <w:pPr>
              <w:spacing w:before="40" w:after="40"/>
            </w:pPr>
            <w:r/>
            <w:r>
              <w:rPr>
                <w:sz w:val="19"/>
              </w:rPr>
              <w:t>3-tier waterfall (Apollo → NB → Hunter)</w:t>
            </w:r>
          </w:p>
        </w:tc>
        <w:tc>
          <w:tcPr>
            <w:tcW w:type="dxa" w:w="1872"/>
            <w:vAlign w:val="top"/>
            <w:shd w:val="clear" w:color="auto" w:fill="EDF2F7"/>
          </w:tcPr>
          <w:p>
            <w:pPr>
              <w:spacing w:before="40" w:after="40"/>
            </w:pPr>
            <w:r/>
            <w:r>
              <w:rPr>
                <w:sz w:val="19"/>
              </w:rPr>
              <w:t>Agent</w:t>
            </w:r>
          </w:p>
        </w:tc>
      </w:tr>
      <w:tr>
        <w:tc>
          <w:tcPr>
            <w:tcW w:type="dxa" w:w="432"/>
            <w:vAlign w:val="top"/>
          </w:tcPr>
          <w:p>
            <w:pPr>
              <w:spacing w:before="40" w:after="40"/>
            </w:pPr>
            <w:r/>
            <w:r>
              <w:rPr>
                <w:b/>
                <w:sz w:val="19"/>
              </w:rPr>
              <w:t>11</w:t>
            </w:r>
          </w:p>
        </w:tc>
        <w:tc>
          <w:tcPr>
            <w:tcW w:type="dxa" w:w="2016"/>
            <w:vAlign w:val="top"/>
          </w:tcPr>
          <w:p>
            <w:pPr>
              <w:spacing w:before="40" w:after="40"/>
            </w:pPr>
            <w:r/>
            <w:r>
              <w:rPr>
                <w:sz w:val="19"/>
              </w:rPr>
              <w:t>Job-change detection</w:t>
            </w:r>
          </w:p>
        </w:tc>
        <w:tc>
          <w:tcPr>
            <w:tcW w:type="dxa" w:w="2448"/>
            <w:vAlign w:val="top"/>
          </w:tcPr>
          <w:p>
            <w:pPr>
              <w:spacing w:before="40" w:after="40"/>
            </w:pPr>
            <w:r/>
            <w:r>
              <w:rPr>
                <w:sz w:val="19"/>
              </w:rPr>
              <w:t>Discover only on bounce</w:t>
            </w:r>
          </w:p>
        </w:tc>
        <w:tc>
          <w:tcPr>
            <w:tcW w:type="dxa" w:w="2448"/>
            <w:vAlign w:val="top"/>
          </w:tcPr>
          <w:p>
            <w:pPr>
              <w:spacing w:before="40" w:after="40"/>
            </w:pPr>
            <w:r/>
            <w:r>
              <w:rPr>
                <w:sz w:val="19"/>
              </w:rPr>
              <w:t>Pre-send flag with HITL pause for that buyer</w:t>
            </w:r>
          </w:p>
        </w:tc>
        <w:tc>
          <w:tcPr>
            <w:tcW w:type="dxa" w:w="1872"/>
            <w:vAlign w:val="top"/>
          </w:tcPr>
          <w:p>
            <w:pPr>
              <w:spacing w:before="40" w:after="40"/>
            </w:pPr>
            <w:r/>
            <w:r>
              <w:rPr>
                <w:sz w:val="19"/>
              </w:rPr>
              <w:t>Agent flags</w:t>
            </w:r>
          </w:p>
        </w:tc>
      </w:tr>
      <w:tr>
        <w:tc>
          <w:tcPr>
            <w:tcW w:type="dxa" w:w="432"/>
            <w:vAlign w:val="top"/>
            <w:shd w:val="clear" w:color="auto" w:fill="EDF2F7"/>
          </w:tcPr>
          <w:p>
            <w:pPr>
              <w:spacing w:before="40" w:after="40"/>
            </w:pPr>
            <w:r/>
            <w:r>
              <w:rPr>
                <w:b/>
                <w:sz w:val="19"/>
              </w:rPr>
              <w:t>12–14</w:t>
            </w:r>
          </w:p>
        </w:tc>
        <w:tc>
          <w:tcPr>
            <w:tcW w:type="dxa" w:w="2016"/>
            <w:vAlign w:val="top"/>
            <w:shd w:val="clear" w:color="auto" w:fill="EDF2F7"/>
          </w:tcPr>
          <w:p>
            <w:pPr>
              <w:spacing w:before="40" w:after="40"/>
            </w:pPr>
            <w:r/>
            <w:r>
              <w:rPr>
                <w:sz w:val="19"/>
              </w:rPr>
              <w:t>E1, follow-ups, multi-recipient</w:t>
            </w:r>
          </w:p>
        </w:tc>
        <w:tc>
          <w:tcPr>
            <w:tcW w:type="dxa" w:w="2448"/>
            <w:vAlign w:val="top"/>
            <w:shd w:val="clear" w:color="auto" w:fill="EDF2F7"/>
          </w:tcPr>
          <w:p>
            <w:pPr>
              <w:spacing w:before="40" w:after="40"/>
            </w:pPr>
            <w:r/>
            <w:r>
              <w:rPr>
                <w:sz w:val="19"/>
              </w:rPr>
              <w:t>1-by-1 in Outlook, weekly mental cadence</w:t>
            </w:r>
          </w:p>
        </w:tc>
        <w:tc>
          <w:tcPr>
            <w:tcW w:type="dxa" w:w="2448"/>
            <w:vAlign w:val="top"/>
            <w:shd w:val="clear" w:color="auto" w:fill="EDF2F7"/>
          </w:tcPr>
          <w:p>
            <w:pPr>
              <w:spacing w:before="40" w:after="40"/>
            </w:pPr>
            <w:r/>
            <w:r>
              <w:rPr>
                <w:sz w:val="19"/>
              </w:rPr>
              <w:t>Templated, queued, auto-staggered</w:t>
            </w:r>
          </w:p>
        </w:tc>
        <w:tc>
          <w:tcPr>
            <w:tcW w:type="dxa" w:w="1872"/>
            <w:vAlign w:val="top"/>
            <w:shd w:val="clear" w:color="auto" w:fill="EDF2F7"/>
          </w:tcPr>
          <w:p>
            <w:pPr>
              <w:spacing w:before="40" w:after="40"/>
            </w:pPr>
            <w:r/>
            <w:r>
              <w:rPr>
                <w:sz w:val="19"/>
              </w:rPr>
              <w:t>Agent draft, human approve</w:t>
            </w:r>
          </w:p>
        </w:tc>
      </w:tr>
      <w:tr>
        <w:tc>
          <w:tcPr>
            <w:tcW w:type="dxa" w:w="432"/>
            <w:vAlign w:val="top"/>
          </w:tcPr>
          <w:p>
            <w:pPr>
              <w:spacing w:before="40" w:after="40"/>
            </w:pPr>
            <w:r/>
            <w:r>
              <w:rPr>
                <w:b/>
                <w:sz w:val="19"/>
              </w:rPr>
              <w:t>15</w:t>
            </w:r>
          </w:p>
        </w:tc>
        <w:tc>
          <w:tcPr>
            <w:tcW w:type="dxa" w:w="2016"/>
            <w:vAlign w:val="top"/>
          </w:tcPr>
          <w:p>
            <w:pPr>
              <w:spacing w:before="40" w:after="40"/>
            </w:pPr>
            <w:r/>
            <w:r>
              <w:rPr>
                <w:sz w:val="19"/>
              </w:rPr>
              <w:t>Bounce handling</w:t>
            </w:r>
          </w:p>
        </w:tc>
        <w:tc>
          <w:tcPr>
            <w:tcW w:type="dxa" w:w="2448"/>
            <w:vAlign w:val="top"/>
          </w:tcPr>
          <w:p>
            <w:pPr>
              <w:spacing w:before="40" w:after="40"/>
            </w:pPr>
            <w:r/>
            <w:r>
              <w:rPr>
                <w:sz w:val="19"/>
              </w:rPr>
              <w:t>Manual reconcile</w:t>
            </w:r>
          </w:p>
        </w:tc>
        <w:tc>
          <w:tcPr>
            <w:tcW w:type="dxa" w:w="2448"/>
            <w:vAlign w:val="top"/>
          </w:tcPr>
          <w:p>
            <w:pPr>
              <w:spacing w:before="40" w:after="40"/>
            </w:pPr>
            <w:r/>
            <w:r>
              <w:rPr>
                <w:sz w:val="19"/>
              </w:rPr>
              <w:t>Hard bounce auto-escalates; 3+ at buyer = pause</w:t>
            </w:r>
          </w:p>
        </w:tc>
        <w:tc>
          <w:tcPr>
            <w:tcW w:type="dxa" w:w="1872"/>
            <w:vAlign w:val="top"/>
          </w:tcPr>
          <w:p>
            <w:pPr>
              <w:spacing w:before="40" w:after="40"/>
            </w:pPr>
            <w:r/>
            <w:r>
              <w:rPr>
                <w:sz w:val="19"/>
              </w:rPr>
              <w:t>Agent</w:t>
            </w:r>
          </w:p>
        </w:tc>
      </w:tr>
      <w:tr>
        <w:tc>
          <w:tcPr>
            <w:tcW w:type="dxa" w:w="432"/>
            <w:vAlign w:val="top"/>
            <w:shd w:val="clear" w:color="auto" w:fill="EDF2F7"/>
          </w:tcPr>
          <w:p>
            <w:pPr>
              <w:spacing w:before="40" w:after="40"/>
            </w:pPr>
            <w:r/>
            <w:r>
              <w:rPr>
                <w:b/>
                <w:sz w:val="19"/>
              </w:rPr>
              <w:t>16</w:t>
            </w:r>
          </w:p>
        </w:tc>
        <w:tc>
          <w:tcPr>
            <w:tcW w:type="dxa" w:w="2016"/>
            <w:vAlign w:val="top"/>
            <w:shd w:val="clear" w:color="auto" w:fill="EDF2F7"/>
          </w:tcPr>
          <w:p>
            <w:pPr>
              <w:spacing w:before="40" w:after="40"/>
            </w:pPr>
            <w:r/>
            <w:r>
              <w:rPr>
                <w:sz w:val="19"/>
              </w:rPr>
              <w:t>Reply detection</w:t>
            </w:r>
          </w:p>
        </w:tc>
        <w:tc>
          <w:tcPr>
            <w:tcW w:type="dxa" w:w="2448"/>
            <w:vAlign w:val="top"/>
            <w:shd w:val="clear" w:color="auto" w:fill="EDF2F7"/>
          </w:tcPr>
          <w:p>
            <w:pPr>
              <w:spacing w:before="40" w:after="40"/>
            </w:pPr>
            <w:r/>
            <w:r>
              <w:rPr>
                <w:sz w:val="19"/>
              </w:rPr>
              <w:t>Manual inbox scan</w:t>
            </w:r>
          </w:p>
        </w:tc>
        <w:tc>
          <w:tcPr>
            <w:tcW w:type="dxa" w:w="2448"/>
            <w:vAlign w:val="top"/>
            <w:shd w:val="clear" w:color="auto" w:fill="EDF2F7"/>
          </w:tcPr>
          <w:p>
            <w:pPr>
              <w:spacing w:before="40" w:after="40"/>
            </w:pPr>
            <w:r/>
            <w:r>
              <w:rPr>
                <w:sz w:val="19"/>
              </w:rPr>
              <w:t>Auto-pause + 6-bucket classification</w:t>
            </w:r>
          </w:p>
        </w:tc>
        <w:tc>
          <w:tcPr>
            <w:tcW w:type="dxa" w:w="1872"/>
            <w:vAlign w:val="top"/>
            <w:shd w:val="clear" w:color="auto" w:fill="EDF2F7"/>
          </w:tcPr>
          <w:p>
            <w:pPr>
              <w:spacing w:before="40" w:after="40"/>
            </w:pPr>
            <w:r/>
            <w:r>
              <w:rPr>
                <w:sz w:val="19"/>
              </w:rPr>
              <w:t>Agent</w:t>
            </w:r>
          </w:p>
        </w:tc>
      </w:tr>
      <w:tr>
        <w:tc>
          <w:tcPr>
            <w:tcW w:type="dxa" w:w="432"/>
            <w:vAlign w:val="top"/>
          </w:tcPr>
          <w:p>
            <w:pPr>
              <w:spacing w:before="40" w:after="40"/>
            </w:pPr>
            <w:r/>
            <w:r>
              <w:rPr>
                <w:b/>
                <w:sz w:val="19"/>
              </w:rPr>
              <w:t>17</w:t>
            </w:r>
          </w:p>
        </w:tc>
        <w:tc>
          <w:tcPr>
            <w:tcW w:type="dxa" w:w="2016"/>
            <w:vAlign w:val="top"/>
          </w:tcPr>
          <w:p>
            <w:pPr>
              <w:spacing w:before="40" w:after="40"/>
            </w:pPr>
            <w:r/>
            <w:r>
              <w:rPr>
                <w:sz w:val="19"/>
              </w:rPr>
              <w:t>Reply triage</w:t>
            </w:r>
          </w:p>
        </w:tc>
        <w:tc>
          <w:tcPr>
            <w:tcW w:type="dxa" w:w="2448"/>
            <w:vAlign w:val="top"/>
          </w:tcPr>
          <w:p>
            <w:pPr>
              <w:spacing w:before="40" w:after="40"/>
            </w:pPr>
            <w:r/>
            <w:r>
              <w:rPr>
                <w:sz w:val="19"/>
              </w:rPr>
              <w:t>Read + decide</w:t>
            </w:r>
          </w:p>
        </w:tc>
        <w:tc>
          <w:tcPr>
            <w:tcW w:type="dxa" w:w="2448"/>
            <w:vAlign w:val="top"/>
          </w:tcPr>
          <w:p>
            <w:pPr>
              <w:spacing w:before="40" w:after="40"/>
            </w:pPr>
            <w:r/>
            <w:r>
              <w:rPr>
                <w:sz w:val="19"/>
              </w:rPr>
              <w:t>Recommendation, advisor confirms</w:t>
            </w:r>
          </w:p>
        </w:tc>
        <w:tc>
          <w:tcPr>
            <w:tcW w:type="dxa" w:w="1872"/>
            <w:vAlign w:val="top"/>
          </w:tcPr>
          <w:p>
            <w:pPr>
              <w:spacing w:before="40" w:after="40"/>
            </w:pPr>
            <w:r/>
            <w:r>
              <w:rPr>
                <w:sz w:val="19"/>
              </w:rPr>
              <w:t>Agent + human</w:t>
            </w:r>
          </w:p>
        </w:tc>
      </w:tr>
      <w:tr>
        <w:tc>
          <w:tcPr>
            <w:tcW w:type="dxa" w:w="432"/>
            <w:vAlign w:val="top"/>
            <w:shd w:val="clear" w:color="auto" w:fill="EDF2F7"/>
          </w:tcPr>
          <w:p>
            <w:pPr>
              <w:spacing w:before="40" w:after="40"/>
            </w:pPr>
            <w:r/>
            <w:r>
              <w:rPr>
                <w:b/>
                <w:sz w:val="19"/>
              </w:rPr>
              <w:t>18</w:t>
            </w:r>
          </w:p>
        </w:tc>
        <w:tc>
          <w:tcPr>
            <w:tcW w:type="dxa" w:w="2016"/>
            <w:vAlign w:val="top"/>
            <w:shd w:val="clear" w:color="auto" w:fill="EDF2F7"/>
          </w:tcPr>
          <w:p>
            <w:pPr>
              <w:spacing w:before="40" w:after="40"/>
            </w:pPr>
            <w:r/>
            <w:r>
              <w:rPr>
                <w:sz w:val="19"/>
              </w:rPr>
              <w:t>NDA send</w:t>
            </w:r>
          </w:p>
        </w:tc>
        <w:tc>
          <w:tcPr>
            <w:tcW w:type="dxa" w:w="2448"/>
            <w:vAlign w:val="top"/>
            <w:shd w:val="clear" w:color="auto" w:fill="EDF2F7"/>
          </w:tcPr>
          <w:p>
            <w:pPr>
              <w:spacing w:before="40" w:after="40"/>
            </w:pPr>
            <w:r/>
            <w:r>
              <w:rPr>
                <w:sz w:val="19"/>
              </w:rPr>
              <w:t>1–2 day lag, manual upload</w:t>
            </w:r>
          </w:p>
        </w:tc>
        <w:tc>
          <w:tcPr>
            <w:tcW w:type="dxa" w:w="2448"/>
            <w:vAlign w:val="top"/>
            <w:shd w:val="clear" w:color="auto" w:fill="EDF2F7"/>
          </w:tcPr>
          <w:p>
            <w:pPr>
              <w:spacing w:before="40" w:after="40"/>
            </w:pPr>
            <w:r/>
            <w:r>
              <w:rPr>
                <w:sz w:val="19"/>
              </w:rPr>
              <w:t>One-click; blank or pre-filled</w:t>
            </w:r>
          </w:p>
        </w:tc>
        <w:tc>
          <w:tcPr>
            <w:tcW w:type="dxa" w:w="1872"/>
            <w:vAlign w:val="top"/>
            <w:shd w:val="clear" w:color="auto" w:fill="EDF2F7"/>
          </w:tcPr>
          <w:p>
            <w:pPr>
              <w:spacing w:before="40" w:after="40"/>
            </w:pPr>
            <w:r/>
            <w:r>
              <w:rPr>
                <w:sz w:val="19"/>
              </w:rPr>
              <w:t>Human triggers, agent executes</w:t>
            </w:r>
          </w:p>
        </w:tc>
      </w:tr>
      <w:tr>
        <w:tc>
          <w:tcPr>
            <w:tcW w:type="dxa" w:w="432"/>
            <w:vAlign w:val="top"/>
          </w:tcPr>
          <w:p>
            <w:pPr>
              <w:spacing w:before="40" w:after="40"/>
            </w:pPr>
            <w:r/>
            <w:r>
              <w:rPr>
                <w:b/>
                <w:sz w:val="19"/>
              </w:rPr>
              <w:t>19</w:t>
            </w:r>
          </w:p>
        </w:tc>
        <w:tc>
          <w:tcPr>
            <w:tcW w:type="dxa" w:w="2016"/>
            <w:vAlign w:val="top"/>
          </w:tcPr>
          <w:p>
            <w:pPr>
              <w:spacing w:before="40" w:after="40"/>
            </w:pPr>
            <w:r/>
            <w:r>
              <w:rPr>
                <w:sz w:val="19"/>
              </w:rPr>
              <w:t>NDA chase</w:t>
            </w:r>
          </w:p>
        </w:tc>
        <w:tc>
          <w:tcPr>
            <w:tcW w:type="dxa" w:w="2448"/>
            <w:vAlign w:val="top"/>
          </w:tcPr>
          <w:p>
            <w:pPr>
              <w:spacing w:before="40" w:after="40"/>
            </w:pPr>
            <w:r/>
            <w:r>
              <w:rPr>
                <w:sz w:val="19"/>
              </w:rPr>
              <w:t>None</w:t>
            </w:r>
          </w:p>
        </w:tc>
        <w:tc>
          <w:tcPr>
            <w:tcW w:type="dxa" w:w="2448"/>
            <w:vAlign w:val="top"/>
          </w:tcPr>
          <w:p>
            <w:pPr>
              <w:spacing w:before="40" w:after="40"/>
            </w:pPr>
            <w:r/>
            <w:r>
              <w:rPr>
                <w:sz w:val="19"/>
              </w:rPr>
              <w:t>Dashboard alerts + DocuSign reminders</w:t>
            </w:r>
          </w:p>
        </w:tc>
        <w:tc>
          <w:tcPr>
            <w:tcW w:type="dxa" w:w="1872"/>
            <w:vAlign w:val="top"/>
          </w:tcPr>
          <w:p>
            <w:pPr>
              <w:spacing w:before="40" w:after="40"/>
            </w:pPr>
            <w:r/>
            <w:r>
              <w:rPr>
                <w:sz w:val="19"/>
              </w:rPr>
              <w:t>Agent surfaces</w:t>
            </w:r>
          </w:p>
        </w:tc>
      </w:tr>
      <w:tr>
        <w:tc>
          <w:tcPr>
            <w:tcW w:type="dxa" w:w="432"/>
            <w:vAlign w:val="top"/>
            <w:shd w:val="clear" w:color="auto" w:fill="EDF2F7"/>
          </w:tcPr>
          <w:p>
            <w:pPr>
              <w:spacing w:before="40" w:after="40"/>
            </w:pPr>
            <w:r/>
            <w:r>
              <w:rPr>
                <w:b/>
                <w:sz w:val="19"/>
              </w:rPr>
              <w:t>20</w:t>
            </w:r>
          </w:p>
        </w:tc>
        <w:tc>
          <w:tcPr>
            <w:tcW w:type="dxa" w:w="2016"/>
            <w:vAlign w:val="top"/>
            <w:shd w:val="clear" w:color="auto" w:fill="EDF2F7"/>
          </w:tcPr>
          <w:p>
            <w:pPr>
              <w:spacing w:before="40" w:after="40"/>
            </w:pPr>
            <w:r/>
            <w:r>
              <w:rPr>
                <w:sz w:val="19"/>
              </w:rPr>
              <w:t>Wet-ink path</w:t>
            </w:r>
          </w:p>
        </w:tc>
        <w:tc>
          <w:tcPr>
            <w:tcW w:type="dxa" w:w="2448"/>
            <w:vAlign w:val="top"/>
            <w:shd w:val="clear" w:color="auto" w:fill="EDF2F7"/>
          </w:tcPr>
          <w:p>
            <w:pPr>
              <w:spacing w:before="40" w:after="40"/>
            </w:pPr>
            <w:r/>
            <w:r>
              <w:rPr>
                <w:sz w:val="19"/>
              </w:rPr>
              <w:t>Manual forward to client</w:t>
            </w:r>
          </w:p>
        </w:tc>
        <w:tc>
          <w:tcPr>
            <w:tcW w:type="dxa" w:w="2448"/>
            <w:vAlign w:val="top"/>
            <w:shd w:val="clear" w:color="auto" w:fill="EDF2F7"/>
          </w:tcPr>
          <w:p>
            <w:pPr>
              <w:spacing w:before="40" w:after="40"/>
            </w:pPr>
            <w:r/>
            <w:r>
              <w:rPr>
                <w:sz w:val="19"/>
              </w:rPr>
              <w:t>Upload PDF → envelope to authoriser</w:t>
            </w:r>
          </w:p>
        </w:tc>
        <w:tc>
          <w:tcPr>
            <w:tcW w:type="dxa" w:w="1872"/>
            <w:vAlign w:val="top"/>
            <w:shd w:val="clear" w:color="auto" w:fill="EDF2F7"/>
          </w:tcPr>
          <w:p>
            <w:pPr>
              <w:spacing w:before="40" w:after="40"/>
            </w:pPr>
            <w:r/>
            <w:r>
              <w:rPr>
                <w:sz w:val="19"/>
              </w:rPr>
              <w:t>Human upload, agent routes</w:t>
            </w:r>
          </w:p>
        </w:tc>
      </w:tr>
      <w:tr>
        <w:tc>
          <w:tcPr>
            <w:tcW w:type="dxa" w:w="432"/>
            <w:vAlign w:val="top"/>
          </w:tcPr>
          <w:p>
            <w:pPr>
              <w:spacing w:before="40" w:after="40"/>
            </w:pPr>
            <w:r/>
            <w:r>
              <w:rPr>
                <w:b/>
                <w:sz w:val="19"/>
              </w:rPr>
              <w:t>21</w:t>
            </w:r>
          </w:p>
        </w:tc>
        <w:tc>
          <w:tcPr>
            <w:tcW w:type="dxa" w:w="2016"/>
            <w:vAlign w:val="top"/>
          </w:tcPr>
          <w:p>
            <w:pPr>
              <w:spacing w:before="40" w:after="40"/>
            </w:pPr>
            <w:r/>
            <w:r>
              <w:rPr>
                <w:sz w:val="19"/>
              </w:rPr>
              <w:t>NDA redline (~30%)</w:t>
            </w:r>
          </w:p>
        </w:tc>
        <w:tc>
          <w:tcPr>
            <w:tcW w:type="dxa" w:w="2448"/>
            <w:vAlign w:val="top"/>
          </w:tcPr>
          <w:p>
            <w:pPr>
              <w:spacing w:before="40" w:after="40"/>
            </w:pPr>
            <w:r/>
            <w:r>
              <w:rPr>
                <w:sz w:val="19"/>
              </w:rPr>
              <w:t>Email back and forth</w:t>
            </w:r>
          </w:p>
        </w:tc>
        <w:tc>
          <w:tcPr>
            <w:tcW w:type="dxa" w:w="2448"/>
            <w:vAlign w:val="top"/>
          </w:tcPr>
          <w:p>
            <w:pPr>
              <w:spacing w:before="40" w:after="40"/>
            </w:pPr>
            <w:r/>
            <w:r>
              <w:rPr>
                <w:sz w:val="19"/>
              </w:rPr>
              <w:t>Diff vs original → legal review hand-off on ANY change</w:t>
            </w:r>
          </w:p>
        </w:tc>
        <w:tc>
          <w:tcPr>
            <w:tcW w:type="dxa" w:w="1872"/>
            <w:vAlign w:val="top"/>
          </w:tcPr>
          <w:p>
            <w:pPr>
              <w:spacing w:before="40" w:after="40"/>
            </w:pPr>
            <w:r/>
            <w:r>
              <w:rPr>
                <w:sz w:val="19"/>
              </w:rPr>
              <w:t>Agent surfaces, human reviews</w:t>
            </w:r>
          </w:p>
        </w:tc>
      </w:tr>
      <w:tr>
        <w:tc>
          <w:tcPr>
            <w:tcW w:type="dxa" w:w="432"/>
            <w:vAlign w:val="top"/>
            <w:shd w:val="clear" w:color="auto" w:fill="EDF2F7"/>
          </w:tcPr>
          <w:p>
            <w:pPr>
              <w:spacing w:before="40" w:after="40"/>
            </w:pPr>
            <w:r/>
            <w:r>
              <w:rPr>
                <w:b/>
                <w:sz w:val="19"/>
              </w:rPr>
              <w:t>22</w:t>
            </w:r>
          </w:p>
        </w:tc>
        <w:tc>
          <w:tcPr>
            <w:tcW w:type="dxa" w:w="2016"/>
            <w:vAlign w:val="top"/>
            <w:shd w:val="clear" w:color="auto" w:fill="EDF2F7"/>
          </w:tcPr>
          <w:p>
            <w:pPr>
              <w:spacing w:before="40" w:after="40"/>
            </w:pPr>
            <w:r/>
            <w:r>
              <w:rPr>
                <w:sz w:val="19"/>
              </w:rPr>
              <w:t>Counter-sign</w:t>
            </w:r>
          </w:p>
        </w:tc>
        <w:tc>
          <w:tcPr>
            <w:tcW w:type="dxa" w:w="2448"/>
            <w:vAlign w:val="top"/>
            <w:shd w:val="clear" w:color="auto" w:fill="EDF2F7"/>
          </w:tcPr>
          <w:p>
            <w:pPr>
              <w:spacing w:before="40" w:after="40"/>
            </w:pPr>
            <w:r/>
            <w:r>
              <w:rPr>
                <w:sz w:val="19"/>
              </w:rPr>
              <w:t>Manual forward</w:t>
            </w:r>
          </w:p>
        </w:tc>
        <w:tc>
          <w:tcPr>
            <w:tcW w:type="dxa" w:w="2448"/>
            <w:vAlign w:val="top"/>
            <w:shd w:val="clear" w:color="auto" w:fill="EDF2F7"/>
          </w:tcPr>
          <w:p>
            <w:pPr>
              <w:spacing w:before="40" w:after="40"/>
            </w:pPr>
            <w:r/>
            <w:r>
              <w:rPr>
                <w:sz w:val="19"/>
              </w:rPr>
              <w:t>Auto-route to Authoriser</w:t>
            </w:r>
          </w:p>
        </w:tc>
        <w:tc>
          <w:tcPr>
            <w:tcW w:type="dxa" w:w="1872"/>
            <w:vAlign w:val="top"/>
            <w:shd w:val="clear" w:color="auto" w:fill="EDF2F7"/>
          </w:tcPr>
          <w:p>
            <w:pPr>
              <w:spacing w:before="40" w:after="40"/>
            </w:pPr>
            <w:r/>
            <w:r>
              <w:rPr>
                <w:sz w:val="19"/>
              </w:rPr>
              <w:t>Agent</w:t>
            </w:r>
          </w:p>
        </w:tc>
      </w:tr>
      <w:tr>
        <w:tc>
          <w:tcPr>
            <w:tcW w:type="dxa" w:w="432"/>
            <w:vAlign w:val="top"/>
          </w:tcPr>
          <w:p>
            <w:pPr>
              <w:spacing w:before="40" w:after="40"/>
            </w:pPr>
            <w:r/>
            <w:r>
              <w:rPr>
                <w:b/>
                <w:sz w:val="19"/>
              </w:rPr>
              <w:t>23</w:t>
            </w:r>
          </w:p>
        </w:tc>
        <w:tc>
          <w:tcPr>
            <w:tcW w:type="dxa" w:w="2016"/>
            <w:vAlign w:val="top"/>
          </w:tcPr>
          <w:p>
            <w:pPr>
              <w:spacing w:before="40" w:after="40"/>
            </w:pPr>
            <w:r/>
            <w:r>
              <w:rPr>
                <w:sz w:val="19"/>
              </w:rPr>
              <w:t>Ready transition</w:t>
            </w:r>
          </w:p>
        </w:tc>
        <w:tc>
          <w:tcPr>
            <w:tcW w:type="dxa" w:w="2448"/>
            <w:vAlign w:val="top"/>
          </w:tcPr>
          <w:p>
            <w:pPr>
              <w:spacing w:before="40" w:after="40"/>
            </w:pPr>
            <w:r/>
            <w:r>
              <w:rPr>
                <w:sz w:val="19"/>
              </w:rPr>
              <w:t>Mental</w:t>
            </w:r>
          </w:p>
        </w:tc>
        <w:tc>
          <w:tcPr>
            <w:tcW w:type="dxa" w:w="2448"/>
            <w:vAlign w:val="top"/>
          </w:tcPr>
          <w:p>
            <w:pPr>
              <w:spacing w:before="40" w:after="40"/>
            </w:pPr>
            <w:r/>
            <w:r>
              <w:rPr>
                <w:sz w:val="19"/>
              </w:rPr>
              <w:t>Auto state change</w:t>
            </w:r>
          </w:p>
        </w:tc>
        <w:tc>
          <w:tcPr>
            <w:tcW w:type="dxa" w:w="1872"/>
            <w:vAlign w:val="top"/>
          </w:tcPr>
          <w:p>
            <w:pPr>
              <w:spacing w:before="40" w:after="40"/>
            </w:pPr>
            <w:r/>
            <w:r>
              <w:rPr>
                <w:sz w:val="19"/>
              </w:rPr>
              <w:t>Agent</w:t>
            </w:r>
          </w:p>
        </w:tc>
      </w:tr>
      <w:tr>
        <w:tc>
          <w:tcPr>
            <w:tcW w:type="dxa" w:w="432"/>
            <w:vAlign w:val="top"/>
            <w:shd w:val="clear" w:color="auto" w:fill="EDF2F7"/>
          </w:tcPr>
          <w:p>
            <w:pPr>
              <w:spacing w:before="40" w:after="40"/>
            </w:pPr>
            <w:r/>
            <w:r>
              <w:rPr>
                <w:b/>
                <w:sz w:val="19"/>
              </w:rPr>
              <w:t>24</w:t>
            </w:r>
          </w:p>
        </w:tc>
        <w:tc>
          <w:tcPr>
            <w:tcW w:type="dxa" w:w="2016"/>
            <w:vAlign w:val="top"/>
            <w:shd w:val="clear" w:color="auto" w:fill="EDF2F7"/>
          </w:tcPr>
          <w:p>
            <w:pPr>
              <w:spacing w:before="40" w:after="40"/>
            </w:pPr>
            <w:r/>
            <w:r>
              <w:rPr>
                <w:sz w:val="19"/>
              </w:rPr>
              <w:t>Meeting request</w:t>
            </w:r>
          </w:p>
        </w:tc>
        <w:tc>
          <w:tcPr>
            <w:tcW w:type="dxa" w:w="2448"/>
            <w:vAlign w:val="top"/>
            <w:shd w:val="clear" w:color="auto" w:fill="EDF2F7"/>
          </w:tcPr>
          <w:p>
            <w:pPr>
              <w:spacing w:before="40" w:after="40"/>
            </w:pPr>
            <w:r/>
            <w:r>
              <w:rPr>
                <w:sz w:val="19"/>
              </w:rPr>
              <w:t>Ad-hoc calendar emails</w:t>
            </w:r>
          </w:p>
        </w:tc>
        <w:tc>
          <w:tcPr>
            <w:tcW w:type="dxa" w:w="2448"/>
            <w:vAlign w:val="top"/>
            <w:shd w:val="clear" w:color="auto" w:fill="EDF2F7"/>
          </w:tcPr>
          <w:p>
            <w:pPr>
              <w:spacing w:before="40" w:after="40"/>
            </w:pPr>
            <w:r/>
            <w:r>
              <w:rPr>
                <w:sz w:val="19"/>
              </w:rPr>
              <w:t>Manual trigger + Bookings/HubSpot link</w:t>
            </w:r>
          </w:p>
        </w:tc>
        <w:tc>
          <w:tcPr>
            <w:tcW w:type="dxa" w:w="1872"/>
            <w:vAlign w:val="top"/>
            <w:shd w:val="clear" w:color="auto" w:fill="EDF2F7"/>
          </w:tcPr>
          <w:p>
            <w:pPr>
              <w:spacing w:before="40" w:after="40"/>
            </w:pPr>
            <w:r/>
            <w:r>
              <w:rPr>
                <w:sz w:val="19"/>
              </w:rPr>
              <w:t>Human + agent</w:t>
            </w:r>
          </w:p>
        </w:tc>
      </w:tr>
      <w:tr>
        <w:tc>
          <w:tcPr>
            <w:tcW w:type="dxa" w:w="432"/>
            <w:vAlign w:val="top"/>
          </w:tcPr>
          <w:p>
            <w:pPr>
              <w:spacing w:before="40" w:after="40"/>
            </w:pPr>
            <w:r/>
            <w:r>
              <w:rPr>
                <w:b/>
                <w:sz w:val="19"/>
              </w:rPr>
              <w:t>25</w:t>
            </w:r>
          </w:p>
        </w:tc>
        <w:tc>
          <w:tcPr>
            <w:tcW w:type="dxa" w:w="2016"/>
            <w:vAlign w:val="top"/>
          </w:tcPr>
          <w:p>
            <w:pPr>
              <w:spacing w:before="40" w:after="40"/>
            </w:pPr>
            <w:r/>
            <w:r>
              <w:rPr>
                <w:sz w:val="19"/>
              </w:rPr>
              <w:t>Interested Y/N</w:t>
            </w:r>
          </w:p>
        </w:tc>
        <w:tc>
          <w:tcPr>
            <w:tcW w:type="dxa" w:w="2448"/>
            <w:vAlign w:val="top"/>
          </w:tcPr>
          <w:p>
            <w:pPr>
              <w:spacing w:before="40" w:after="40"/>
            </w:pPr>
            <w:r/>
            <w:r>
              <w:rPr>
                <w:sz w:val="19"/>
              </w:rPr>
              <w:t>Mental</w:t>
            </w:r>
          </w:p>
        </w:tc>
        <w:tc>
          <w:tcPr>
            <w:tcW w:type="dxa" w:w="2448"/>
            <w:vAlign w:val="top"/>
          </w:tcPr>
          <w:p>
            <w:pPr>
              <w:spacing w:before="40" w:after="40"/>
            </w:pPr>
            <w:r/>
            <w:r>
              <w:rPr>
                <w:sz w:val="19"/>
              </w:rPr>
              <w:t>Dashboard flag, auto-sort</w:t>
            </w:r>
          </w:p>
        </w:tc>
        <w:tc>
          <w:tcPr>
            <w:tcW w:type="dxa" w:w="1872"/>
            <w:vAlign w:val="top"/>
          </w:tcPr>
          <w:p>
            <w:pPr>
              <w:spacing w:before="40" w:after="40"/>
            </w:pPr>
            <w:r/>
            <w:r>
              <w:rPr>
                <w:sz w:val="19"/>
              </w:rPr>
              <w:t>Human</w:t>
            </w:r>
          </w:p>
        </w:tc>
      </w:tr>
      <w:tr>
        <w:tc>
          <w:tcPr>
            <w:tcW w:type="dxa" w:w="432"/>
            <w:vAlign w:val="top"/>
            <w:shd w:val="clear" w:color="auto" w:fill="EDF2F7"/>
          </w:tcPr>
          <w:p>
            <w:pPr>
              <w:spacing w:before="40" w:after="40"/>
            </w:pPr>
            <w:r/>
            <w:r>
              <w:rPr>
                <w:b/>
                <w:sz w:val="19"/>
              </w:rPr>
              <w:t>26</w:t>
            </w:r>
          </w:p>
        </w:tc>
        <w:tc>
          <w:tcPr>
            <w:tcW w:type="dxa" w:w="2016"/>
            <w:vAlign w:val="top"/>
            <w:shd w:val="clear" w:color="auto" w:fill="EDF2F7"/>
          </w:tcPr>
          <w:p>
            <w:pPr>
              <w:spacing w:before="40" w:after="40"/>
            </w:pPr>
            <w:r/>
            <w:r>
              <w:rPr>
                <w:sz w:val="19"/>
              </w:rPr>
              <w:t>Pipeline tracking</w:t>
            </w:r>
          </w:p>
        </w:tc>
        <w:tc>
          <w:tcPr>
            <w:tcW w:type="dxa" w:w="2448"/>
            <w:vAlign w:val="top"/>
            <w:shd w:val="clear" w:color="auto" w:fill="EDF2F7"/>
          </w:tcPr>
          <w:p>
            <w:pPr>
              <w:spacing w:before="40" w:after="40"/>
            </w:pPr>
            <w:r/>
            <w:r>
              <w:rPr>
                <w:sz w:val="19"/>
              </w:rPr>
              <w:t>In Jeremy's head</w:t>
            </w:r>
          </w:p>
        </w:tc>
        <w:tc>
          <w:tcPr>
            <w:tcW w:type="dxa" w:w="2448"/>
            <w:vAlign w:val="top"/>
            <w:shd w:val="clear" w:color="auto" w:fill="EDF2F7"/>
          </w:tcPr>
          <w:p>
            <w:pPr>
              <w:spacing w:before="40" w:after="40"/>
            </w:pPr>
            <w:r/>
            <w:r>
              <w:rPr>
                <w:sz w:val="19"/>
              </w:rPr>
              <w:t>Multi-mandate dashboard with drill-down</w:t>
            </w:r>
          </w:p>
        </w:tc>
        <w:tc>
          <w:tcPr>
            <w:tcW w:type="dxa" w:w="1872"/>
            <w:vAlign w:val="top"/>
            <w:shd w:val="clear" w:color="auto" w:fill="EDF2F7"/>
          </w:tcPr>
          <w:p>
            <w:pPr>
              <w:spacing w:before="40" w:after="40"/>
            </w:pPr>
            <w:r/>
            <w:r>
              <w:rPr>
                <w:sz w:val="19"/>
              </w:rPr>
              <w:t>Agent surfaces</w:t>
            </w:r>
          </w:p>
        </w:tc>
      </w:tr>
      <w:tr>
        <w:tc>
          <w:tcPr>
            <w:tcW w:type="dxa" w:w="432"/>
            <w:vAlign w:val="top"/>
          </w:tcPr>
          <w:p>
            <w:pPr>
              <w:spacing w:before="40" w:after="40"/>
            </w:pPr>
            <w:r/>
            <w:r>
              <w:rPr>
                <w:b/>
                <w:sz w:val="19"/>
              </w:rPr>
              <w:t>27</w:t>
            </w:r>
          </w:p>
        </w:tc>
        <w:tc>
          <w:tcPr>
            <w:tcW w:type="dxa" w:w="2016"/>
            <w:vAlign w:val="top"/>
          </w:tcPr>
          <w:p>
            <w:pPr>
              <w:spacing w:before="40" w:after="40"/>
            </w:pPr>
            <w:r/>
            <w:r>
              <w:rPr>
                <w:sz w:val="19"/>
              </w:rPr>
              <w:t>Client reporting</w:t>
            </w:r>
          </w:p>
        </w:tc>
        <w:tc>
          <w:tcPr>
            <w:tcW w:type="dxa" w:w="2448"/>
            <w:vAlign w:val="top"/>
          </w:tcPr>
          <w:p>
            <w:pPr>
              <w:spacing w:before="40" w:after="40"/>
            </w:pPr>
            <w:r/>
            <w:r>
              <w:rPr>
                <w:sz w:val="19"/>
              </w:rPr>
              <w:t>15–30 min/mandate/week</w:t>
            </w:r>
          </w:p>
        </w:tc>
        <w:tc>
          <w:tcPr>
            <w:tcW w:type="dxa" w:w="2448"/>
            <w:vAlign w:val="top"/>
          </w:tcPr>
          <w:p>
            <w:pPr>
              <w:spacing w:before="40" w:after="40"/>
            </w:pPr>
            <w:r/>
            <w:r>
              <w:rPr>
                <w:sz w:val="19"/>
              </w:rPr>
              <w:t>PDF export with cover/status/metrics/audit</w:t>
            </w:r>
          </w:p>
        </w:tc>
        <w:tc>
          <w:tcPr>
            <w:tcW w:type="dxa" w:w="1872"/>
            <w:vAlign w:val="top"/>
          </w:tcPr>
          <w:p>
            <w:pPr>
              <w:spacing w:before="40" w:after="40"/>
            </w:pPr>
            <w:r/>
            <w:r>
              <w:rPr>
                <w:sz w:val="19"/>
              </w:rPr>
              <w:t>Agent + human review</w:t>
            </w:r>
          </w:p>
        </w:tc>
      </w:tr>
      <w:tr>
        <w:tc>
          <w:tcPr>
            <w:tcW w:type="dxa" w:w="432"/>
            <w:vAlign w:val="top"/>
            <w:shd w:val="clear" w:color="auto" w:fill="EDF2F7"/>
          </w:tcPr>
          <w:p>
            <w:pPr>
              <w:spacing w:before="40" w:after="40"/>
            </w:pPr>
            <w:r/>
            <w:r>
              <w:rPr>
                <w:b/>
                <w:sz w:val="19"/>
              </w:rPr>
              <w:t>28</w:t>
            </w:r>
          </w:p>
        </w:tc>
        <w:tc>
          <w:tcPr>
            <w:tcW w:type="dxa" w:w="2016"/>
            <w:vAlign w:val="top"/>
            <w:shd w:val="clear" w:color="auto" w:fill="EDF2F7"/>
          </w:tcPr>
          <w:p>
            <w:pPr>
              <w:spacing w:before="40" w:after="40"/>
            </w:pPr>
            <w:r/>
            <w:r>
              <w:rPr>
                <w:sz w:val="19"/>
              </w:rPr>
              <w:t>Call notes</w:t>
            </w:r>
          </w:p>
        </w:tc>
        <w:tc>
          <w:tcPr>
            <w:tcW w:type="dxa" w:w="2448"/>
            <w:vAlign w:val="top"/>
            <w:shd w:val="clear" w:color="auto" w:fill="EDF2F7"/>
          </w:tcPr>
          <w:p>
            <w:pPr>
              <w:spacing w:before="40" w:after="40"/>
            </w:pPr>
            <w:r/>
            <w:r>
              <w:rPr>
                <w:sz w:val="19"/>
              </w:rPr>
              <w:t>Memory / Excel</w:t>
            </w:r>
          </w:p>
        </w:tc>
        <w:tc>
          <w:tcPr>
            <w:tcW w:type="dxa" w:w="2448"/>
            <w:vAlign w:val="top"/>
            <w:shd w:val="clear" w:color="auto" w:fill="EDF2F7"/>
          </w:tcPr>
          <w:p>
            <w:pPr>
              <w:spacing w:before="40" w:after="40"/>
            </w:pPr>
            <w:r/>
            <w:r>
              <w:rPr>
                <w:sz w:val="19"/>
              </w:rPr>
              <w:t>Free-text field per contact, timestamped</w:t>
            </w:r>
          </w:p>
        </w:tc>
        <w:tc>
          <w:tcPr>
            <w:tcW w:type="dxa" w:w="1872"/>
            <w:vAlign w:val="top"/>
            <w:shd w:val="clear" w:color="auto" w:fill="EDF2F7"/>
          </w:tcPr>
          <w:p>
            <w:pPr>
              <w:spacing w:before="40" w:after="40"/>
            </w:pPr>
            <w:r/>
            <w:r>
              <w:rPr>
                <w:sz w:val="19"/>
              </w:rPr>
              <w:t>Human enters</w:t>
            </w:r>
          </w:p>
        </w:tc>
      </w:tr>
    </w:tbl>
    <w:p>
      <w:pPr>
        <w:spacing w:after="40"/>
      </w:pPr>
    </w:p>
    <w:p>
      <w:r>
        <w:br w:type="page"/>
      </w:r>
    </w:p>
    <w:p>
      <w:pPr>
        <w:spacing w:before="240" w:after="120"/>
        <w:pBdr>
          <w:bottom w:val="single" w:sz="6" w:space="1" w:color="1F3A5F"/>
        </w:pBdr>
      </w:pPr>
      <w:r>
        <w:rPr>
          <w:b/>
          <w:color w:val="1F3A5F"/>
          <w:sz w:val="32"/>
        </w:rPr>
        <w:t>16. Edge Case Catalogue</w:t>
      </w:r>
    </w:p>
    <w:p>
      <w:pPr>
        <w:spacing w:before="0" w:after="80"/>
      </w:pPr>
      <w:r>
        <w:rPr>
          <w:b w:val="0"/>
          <w:i w:val="0"/>
          <w:sz w:val="21"/>
        </w:rPr>
        <w:t>Edge cases identified during the inputs deep dive, grouped by category. Each defines the trigger condition and the platform's response.</w:t>
      </w:r>
    </w:p>
    <w:p>
      <w:pPr>
        <w:spacing w:before="240" w:after="120"/>
      </w:pPr>
      <w:r>
        <w:rPr>
          <w:b/>
          <w:color w:val="1F3A5F"/>
          <w:sz w:val="26"/>
        </w:rPr>
        <w:t>16.1 Data and Enrichment</w:t>
      </w:r>
    </w:p>
    <w:tbl>
      <w:tblPr>
        <w:tblStyle w:val="TableGrid"/>
        <w:tblW w:type="auto" w:w="0"/>
        <w:jc w:val="left"/>
        <w:tblLook w:firstColumn="1" w:firstRow="1" w:lastColumn="0" w:lastRow="0" w:noHBand="0" w:noVBand="1" w:val="04A0"/>
      </w:tblPr>
      <w:tblGrid>
        <w:gridCol w:w="3249"/>
        <w:gridCol w:w="3249"/>
        <w:gridCol w:w="3249"/>
      </w:tblGrid>
      <w:tr>
        <w:tc>
          <w:tcPr>
            <w:tcW w:type="dxa" w:w="432"/>
            <w:shd w:val="clear" w:color="auto" w:fill="1F3A5F"/>
            <w:vAlign w:val="center"/>
          </w:tcPr>
          <w:p>
            <w:pPr>
              <w:spacing w:before="40" w:after="40"/>
            </w:pPr>
            <w:r/>
            <w:r>
              <w:rPr>
                <w:b/>
                <w:color w:val="FFFFFF"/>
                <w:sz w:val="20"/>
              </w:rPr>
              <w:t>#</w:t>
            </w:r>
          </w:p>
        </w:tc>
        <w:tc>
          <w:tcPr>
            <w:tcW w:type="dxa" w:w="3744"/>
            <w:shd w:val="clear" w:color="auto" w:fill="1F3A5F"/>
            <w:vAlign w:val="center"/>
          </w:tcPr>
          <w:p>
            <w:pPr>
              <w:spacing w:before="40" w:after="40"/>
            </w:pPr>
            <w:r/>
            <w:r>
              <w:rPr>
                <w:b/>
                <w:color w:val="FFFFFF"/>
                <w:sz w:val="20"/>
              </w:rPr>
              <w:t>Edge case</w:t>
            </w:r>
          </w:p>
        </w:tc>
        <w:tc>
          <w:tcPr>
            <w:tcW w:type="dxa" w:w="5616"/>
            <w:shd w:val="clear" w:color="auto" w:fill="1F3A5F"/>
            <w:vAlign w:val="center"/>
          </w:tcPr>
          <w:p>
            <w:pPr>
              <w:spacing w:before="40" w:after="40"/>
            </w:pPr>
            <w:r/>
            <w:r>
              <w:rPr>
                <w:b/>
                <w:color w:val="FFFFFF"/>
                <w:sz w:val="20"/>
              </w:rPr>
              <w:t>Platform behavior</w:t>
            </w:r>
          </w:p>
        </w:tc>
      </w:tr>
      <w:tr>
        <w:tc>
          <w:tcPr>
            <w:tcW w:type="dxa" w:w="432"/>
            <w:vAlign w:val="top"/>
          </w:tcPr>
          <w:p>
            <w:pPr>
              <w:spacing w:before="40" w:after="40"/>
            </w:pPr>
            <w:r/>
            <w:r>
              <w:rPr>
                <w:b/>
                <w:sz w:val="19"/>
              </w:rPr>
              <w:t>1</w:t>
            </w:r>
          </w:p>
        </w:tc>
        <w:tc>
          <w:tcPr>
            <w:tcW w:type="dxa" w:w="3744"/>
            <w:vAlign w:val="top"/>
          </w:tcPr>
          <w:p>
            <w:pPr>
              <w:spacing w:before="40" w:after="40"/>
            </w:pPr>
            <w:r/>
            <w:r>
              <w:rPr>
                <w:sz w:val="19"/>
              </w:rPr>
              <w:t>Buyer with thin online presence (no usable website / weak LinkedIn)</w:t>
            </w:r>
          </w:p>
        </w:tc>
        <w:tc>
          <w:tcPr>
            <w:tcW w:type="dxa" w:w="5616"/>
            <w:vAlign w:val="top"/>
          </w:tcPr>
          <w:p>
            <w:pPr>
              <w:spacing w:before="40" w:after="40"/>
            </w:pPr>
            <w:r/>
            <w:r>
              <w:rPr>
                <w:sz w:val="19"/>
              </w:rPr>
              <w:t>After all enrichment tools return no valid email, surface Manual Enrichment Required; user inputs manually; verification still runs.</w:t>
            </w:r>
          </w:p>
        </w:tc>
      </w:tr>
      <w:tr>
        <w:tc>
          <w:tcPr>
            <w:tcW w:type="dxa" w:w="432"/>
            <w:vAlign w:val="top"/>
            <w:shd w:val="clear" w:color="auto" w:fill="EDF2F7"/>
          </w:tcPr>
          <w:p>
            <w:pPr>
              <w:spacing w:before="40" w:after="40"/>
            </w:pPr>
            <w:r/>
            <w:r>
              <w:rPr>
                <w:b/>
                <w:sz w:val="19"/>
              </w:rPr>
              <w:t>2</w:t>
            </w:r>
          </w:p>
        </w:tc>
        <w:tc>
          <w:tcPr>
            <w:tcW w:type="dxa" w:w="3744"/>
            <w:vAlign w:val="top"/>
            <w:shd w:val="clear" w:color="auto" w:fill="EDF2F7"/>
          </w:tcPr>
          <w:p>
            <w:pPr>
              <w:spacing w:before="40" w:after="40"/>
            </w:pPr>
            <w:r/>
            <w:r>
              <w:rPr>
                <w:sz w:val="19"/>
              </w:rPr>
              <w:t>Contact has departed the buyer (job change confirmed via LinkedIn)</w:t>
            </w:r>
          </w:p>
        </w:tc>
        <w:tc>
          <w:tcPr>
            <w:tcW w:type="dxa" w:w="5616"/>
            <w:vAlign w:val="top"/>
            <w:shd w:val="clear" w:color="auto" w:fill="EDF2F7"/>
          </w:tcPr>
          <w:p>
            <w:pPr>
              <w:spacing w:before="40" w:after="40"/>
            </w:pPr>
            <w:r/>
            <w:r>
              <w:rPr>
                <w:sz w:val="19"/>
              </w:rPr>
              <w:t>Pause this buyer's enrichment; HITL alert with three options — replace at same buyer / follow to new company / drop.</w:t>
            </w:r>
          </w:p>
        </w:tc>
      </w:tr>
      <w:tr>
        <w:tc>
          <w:tcPr>
            <w:tcW w:type="dxa" w:w="432"/>
            <w:vAlign w:val="top"/>
          </w:tcPr>
          <w:p>
            <w:pPr>
              <w:spacing w:before="40" w:after="40"/>
            </w:pPr>
            <w:r/>
            <w:r>
              <w:rPr>
                <w:b/>
                <w:sz w:val="19"/>
              </w:rPr>
              <w:t>3</w:t>
            </w:r>
          </w:p>
        </w:tc>
        <w:tc>
          <w:tcPr>
            <w:tcW w:type="dxa" w:w="3744"/>
            <w:vAlign w:val="top"/>
          </w:tcPr>
          <w:p>
            <w:pPr>
              <w:spacing w:before="40" w:after="40"/>
            </w:pPr>
            <w:r/>
            <w:r>
              <w:rPr>
                <w:sz w:val="19"/>
              </w:rPr>
              <w:t>Same individual appears at two different buyers (exec moved)</w:t>
            </w:r>
          </w:p>
        </w:tc>
        <w:tc>
          <w:tcPr>
            <w:tcW w:type="dxa" w:w="5616"/>
            <w:vAlign w:val="top"/>
          </w:tcPr>
          <w:p>
            <w:pPr>
              <w:spacing w:before="40" w:after="40"/>
            </w:pPr>
            <w:r/>
            <w:r>
              <w:rPr>
                <w:sz w:val="19"/>
              </w:rPr>
              <w:t>Soft warn on second import; user confirms whether to engage them; first-buyer record marked historical.</w:t>
            </w:r>
          </w:p>
        </w:tc>
      </w:tr>
      <w:tr>
        <w:tc>
          <w:tcPr>
            <w:tcW w:type="dxa" w:w="432"/>
            <w:vAlign w:val="top"/>
            <w:shd w:val="clear" w:color="auto" w:fill="EDF2F7"/>
          </w:tcPr>
          <w:p>
            <w:pPr>
              <w:spacing w:before="40" w:after="40"/>
            </w:pPr>
            <w:r/>
            <w:r>
              <w:rPr>
                <w:b/>
                <w:sz w:val="19"/>
              </w:rPr>
              <w:t>4</w:t>
            </w:r>
          </w:p>
        </w:tc>
        <w:tc>
          <w:tcPr>
            <w:tcW w:type="dxa" w:w="3744"/>
            <w:vAlign w:val="top"/>
            <w:shd w:val="clear" w:color="auto" w:fill="EDF2F7"/>
          </w:tcPr>
          <w:p>
            <w:pPr>
              <w:spacing w:before="40" w:after="40"/>
            </w:pPr>
            <w:r/>
            <w:r>
              <w:rPr>
                <w:sz w:val="19"/>
              </w:rPr>
              <w:t>Comparables.ai contact has malformed role field</w:t>
            </w:r>
          </w:p>
        </w:tc>
        <w:tc>
          <w:tcPr>
            <w:tcW w:type="dxa" w:w="5616"/>
            <w:vAlign w:val="top"/>
            <w:shd w:val="clear" w:color="auto" w:fill="EDF2F7"/>
          </w:tcPr>
          <w:p>
            <w:pPr>
              <w:spacing w:before="40" w:after="40"/>
            </w:pPr>
            <w:r/>
            <w:r>
              <w:rPr>
                <w:sz w:val="19"/>
              </w:rPr>
              <w:t>Agent extracts most recent role using parsing; flags for user review if confidence low.</w:t>
            </w:r>
          </w:p>
        </w:tc>
      </w:tr>
      <w:tr>
        <w:tc>
          <w:tcPr>
            <w:tcW w:type="dxa" w:w="432"/>
            <w:vAlign w:val="top"/>
          </w:tcPr>
          <w:p>
            <w:pPr>
              <w:spacing w:before="40" w:after="40"/>
            </w:pPr>
            <w:r/>
            <w:r>
              <w:rPr>
                <w:b/>
                <w:sz w:val="19"/>
              </w:rPr>
              <w:t>5</w:t>
            </w:r>
          </w:p>
        </w:tc>
        <w:tc>
          <w:tcPr>
            <w:tcW w:type="dxa" w:w="3744"/>
            <w:vAlign w:val="top"/>
          </w:tcPr>
          <w:p>
            <w:pPr>
              <w:spacing w:before="40" w:after="40"/>
            </w:pPr>
            <w:r/>
            <w:r>
              <w:rPr>
                <w:sz w:val="19"/>
              </w:rPr>
              <w:t>Buyer's domain redirects to parent or unrelated site</w:t>
            </w:r>
          </w:p>
        </w:tc>
        <w:tc>
          <w:tcPr>
            <w:tcW w:type="dxa" w:w="5616"/>
            <w:vAlign w:val="top"/>
          </w:tcPr>
          <w:p>
            <w:pPr>
              <w:spacing w:before="40" w:after="40"/>
            </w:pPr>
            <w:r/>
            <w:r>
              <w:rPr>
                <w:sz w:val="19"/>
              </w:rPr>
              <w:t>Use the redirected domain for enrichment. If domain resolves to a parking page or squatter, flag as suspicious; user confirms or corrects.</w:t>
            </w:r>
          </w:p>
        </w:tc>
      </w:tr>
    </w:tbl>
    <w:p>
      <w:pPr>
        <w:spacing w:after="40"/>
      </w:pPr>
    </w:p>
    <w:p>
      <w:pPr>
        <w:spacing w:before="240" w:after="120"/>
      </w:pPr>
      <w:r>
        <w:rPr>
          <w:b/>
          <w:color w:val="1F3A5F"/>
          <w:sz w:val="26"/>
        </w:rPr>
        <w:t>16.2 Reply and Engagement</w:t>
      </w:r>
    </w:p>
    <w:tbl>
      <w:tblPr>
        <w:tblStyle w:val="TableGrid"/>
        <w:tblW w:type="auto" w:w="0"/>
        <w:jc w:val="left"/>
        <w:tblLook w:firstColumn="1" w:firstRow="1" w:lastColumn="0" w:lastRow="0" w:noHBand="0" w:noVBand="1" w:val="04A0"/>
      </w:tblPr>
      <w:tblGrid>
        <w:gridCol w:w="3249"/>
        <w:gridCol w:w="3249"/>
        <w:gridCol w:w="3249"/>
      </w:tblGrid>
      <w:tr>
        <w:tc>
          <w:tcPr>
            <w:tcW w:type="dxa" w:w="432"/>
            <w:shd w:val="clear" w:color="auto" w:fill="1F3A5F"/>
            <w:vAlign w:val="center"/>
          </w:tcPr>
          <w:p>
            <w:pPr>
              <w:spacing w:before="40" w:after="40"/>
            </w:pPr>
            <w:r/>
            <w:r>
              <w:rPr>
                <w:b/>
                <w:color w:val="FFFFFF"/>
                <w:sz w:val="20"/>
              </w:rPr>
              <w:t>#</w:t>
            </w:r>
          </w:p>
        </w:tc>
        <w:tc>
          <w:tcPr>
            <w:tcW w:type="dxa" w:w="3744"/>
            <w:shd w:val="clear" w:color="auto" w:fill="1F3A5F"/>
            <w:vAlign w:val="center"/>
          </w:tcPr>
          <w:p>
            <w:pPr>
              <w:spacing w:before="40" w:after="40"/>
            </w:pPr>
            <w:r/>
            <w:r>
              <w:rPr>
                <w:b/>
                <w:color w:val="FFFFFF"/>
                <w:sz w:val="20"/>
              </w:rPr>
              <w:t>Edge case</w:t>
            </w:r>
          </w:p>
        </w:tc>
        <w:tc>
          <w:tcPr>
            <w:tcW w:type="dxa" w:w="5616"/>
            <w:shd w:val="clear" w:color="auto" w:fill="1F3A5F"/>
            <w:vAlign w:val="center"/>
          </w:tcPr>
          <w:p>
            <w:pPr>
              <w:spacing w:before="40" w:after="40"/>
            </w:pPr>
            <w:r/>
            <w:r>
              <w:rPr>
                <w:b/>
                <w:color w:val="FFFFFF"/>
                <w:sz w:val="20"/>
              </w:rPr>
              <w:t>Platform behavior</w:t>
            </w:r>
          </w:p>
        </w:tc>
      </w:tr>
      <w:tr>
        <w:tc>
          <w:tcPr>
            <w:tcW w:type="dxa" w:w="432"/>
            <w:vAlign w:val="top"/>
          </w:tcPr>
          <w:p>
            <w:pPr>
              <w:spacing w:before="40" w:after="40"/>
            </w:pPr>
            <w:r/>
            <w:r>
              <w:rPr>
                <w:b/>
                <w:sz w:val="19"/>
              </w:rPr>
              <w:t>6</w:t>
            </w:r>
          </w:p>
        </w:tc>
        <w:tc>
          <w:tcPr>
            <w:tcW w:type="dxa" w:w="3744"/>
            <w:vAlign w:val="top"/>
          </w:tcPr>
          <w:p>
            <w:pPr>
              <w:spacing w:before="40" w:after="40"/>
            </w:pPr>
            <w:r/>
            <w:r>
              <w:rPr>
                <w:sz w:val="19"/>
              </w:rPr>
              <w:t>Reply arrives from a different email (personal Gmail, EA, forwarded thread)</w:t>
            </w:r>
          </w:p>
        </w:tc>
        <w:tc>
          <w:tcPr>
            <w:tcW w:type="dxa" w:w="5616"/>
            <w:vAlign w:val="top"/>
          </w:tcPr>
          <w:p>
            <w:pPr>
              <w:spacing w:before="40" w:after="40"/>
            </w:pPr>
            <w:r/>
            <w:r>
              <w:rPr>
                <w:sz w:val="19"/>
              </w:rPr>
              <w:t>Sequence auto-pauses for the original recipient (always pause on threaded reply, regardless of sender match); agent attempts to match sender to known contact; if no match, Reply from unrecognised sender alert.</w:t>
            </w:r>
          </w:p>
        </w:tc>
      </w:tr>
      <w:tr>
        <w:tc>
          <w:tcPr>
            <w:tcW w:type="dxa" w:w="432"/>
            <w:vAlign w:val="top"/>
            <w:shd w:val="clear" w:color="auto" w:fill="EDF2F7"/>
          </w:tcPr>
          <w:p>
            <w:pPr>
              <w:spacing w:before="40" w:after="40"/>
            </w:pPr>
            <w:r/>
            <w:r>
              <w:rPr>
                <w:b/>
                <w:sz w:val="19"/>
              </w:rPr>
              <w:t>7</w:t>
            </w:r>
          </w:p>
        </w:tc>
        <w:tc>
          <w:tcPr>
            <w:tcW w:type="dxa" w:w="3744"/>
            <w:vAlign w:val="top"/>
            <w:shd w:val="clear" w:color="auto" w:fill="EDF2F7"/>
          </w:tcPr>
          <w:p>
            <w:pPr>
              <w:spacing w:before="40" w:after="40"/>
            </w:pPr>
            <w:r/>
            <w:r>
              <w:rPr>
                <w:sz w:val="19"/>
              </w:rPr>
              <w:t>Auto-reply from EA ("contact my assistant Sarah at...")</w:t>
            </w:r>
          </w:p>
        </w:tc>
        <w:tc>
          <w:tcPr>
            <w:tcW w:type="dxa" w:w="5616"/>
            <w:vAlign w:val="top"/>
            <w:shd w:val="clear" w:color="auto" w:fill="EDF2F7"/>
          </w:tcPr>
          <w:p>
            <w:pPr>
              <w:spacing w:before="40" w:after="40"/>
            </w:pPr>
            <w:r/>
            <w:r>
              <w:rPr>
                <w:sz w:val="19"/>
              </w:rPr>
              <w:t>Classified as Wrong Person; agent prompts user to add Sarah as new contact; original sender's sequence stays paused.</w:t>
            </w:r>
          </w:p>
        </w:tc>
      </w:tr>
      <w:tr>
        <w:tc>
          <w:tcPr>
            <w:tcW w:type="dxa" w:w="432"/>
            <w:vAlign w:val="top"/>
          </w:tcPr>
          <w:p>
            <w:pPr>
              <w:spacing w:before="40" w:after="40"/>
            </w:pPr>
            <w:r/>
            <w:r>
              <w:rPr>
                <w:b/>
                <w:sz w:val="19"/>
              </w:rPr>
              <w:t>8</w:t>
            </w:r>
          </w:p>
        </w:tc>
        <w:tc>
          <w:tcPr>
            <w:tcW w:type="dxa" w:w="3744"/>
            <w:vAlign w:val="top"/>
          </w:tcPr>
          <w:p>
            <w:pPr>
              <w:spacing w:before="40" w:after="40"/>
            </w:pPr>
            <w:r/>
            <w:r>
              <w:rPr>
                <w:sz w:val="19"/>
              </w:rPr>
              <w:t>Multi-language reply</w:t>
            </w:r>
          </w:p>
        </w:tc>
        <w:tc>
          <w:tcPr>
            <w:tcW w:type="dxa" w:w="5616"/>
            <w:vAlign w:val="top"/>
          </w:tcPr>
          <w:p>
            <w:pPr>
              <w:spacing w:before="40" w:after="40"/>
            </w:pPr>
            <w:r/>
            <w:r>
              <w:rPr>
                <w:sz w:val="19"/>
              </w:rPr>
              <w:t>LLM classifier handles common languages; if confidence below 60%, defaults to Asking a Question and routes to user with literal translation.</w:t>
            </w:r>
          </w:p>
        </w:tc>
      </w:tr>
      <w:tr>
        <w:tc>
          <w:tcPr>
            <w:tcW w:type="dxa" w:w="432"/>
            <w:vAlign w:val="top"/>
            <w:shd w:val="clear" w:color="auto" w:fill="EDF2F7"/>
          </w:tcPr>
          <w:p>
            <w:pPr>
              <w:spacing w:before="40" w:after="40"/>
            </w:pPr>
            <w:r/>
            <w:r>
              <w:rPr>
                <w:b/>
                <w:sz w:val="19"/>
              </w:rPr>
              <w:t>9</w:t>
            </w:r>
          </w:p>
        </w:tc>
        <w:tc>
          <w:tcPr>
            <w:tcW w:type="dxa" w:w="3744"/>
            <w:vAlign w:val="top"/>
            <w:shd w:val="clear" w:color="auto" w:fill="EDF2F7"/>
          </w:tcPr>
          <w:p>
            <w:pPr>
              <w:spacing w:before="40" w:after="40"/>
            </w:pPr>
            <w:r/>
            <w:r>
              <w:rPr>
                <w:sz w:val="19"/>
              </w:rPr>
              <w:t>Buyer replies positively then goes dark after E2</w:t>
            </w:r>
          </w:p>
        </w:tc>
        <w:tc>
          <w:tcPr>
            <w:tcW w:type="dxa" w:w="5616"/>
            <w:vAlign w:val="top"/>
            <w:shd w:val="clear" w:color="auto" w:fill="EDF2F7"/>
          </w:tcPr>
          <w:p>
            <w:pPr>
              <w:spacing w:before="40" w:after="40"/>
            </w:pPr>
            <w:r/>
            <w:r>
              <w:rPr>
                <w:sz w:val="19"/>
              </w:rPr>
              <w:t>After 7 days of silence post-Email 2, sequence does NOT auto-resume; Stalled after positive reply alert; user decides next action.</w:t>
            </w:r>
          </w:p>
        </w:tc>
      </w:tr>
      <w:tr>
        <w:tc>
          <w:tcPr>
            <w:tcW w:type="dxa" w:w="432"/>
            <w:vAlign w:val="top"/>
          </w:tcPr>
          <w:p>
            <w:pPr>
              <w:spacing w:before="40" w:after="40"/>
            </w:pPr>
            <w:r/>
            <w:r>
              <w:rPr>
                <w:b/>
                <w:sz w:val="19"/>
              </w:rPr>
              <w:t>10</w:t>
            </w:r>
          </w:p>
        </w:tc>
        <w:tc>
          <w:tcPr>
            <w:tcW w:type="dxa" w:w="3744"/>
            <w:vAlign w:val="top"/>
          </w:tcPr>
          <w:p>
            <w:pPr>
              <w:spacing w:before="40" w:after="40"/>
            </w:pPr>
            <w:r/>
            <w:r>
              <w:rPr>
                <w:sz w:val="19"/>
              </w:rPr>
              <w:t>Out-of-office return date passes without further reply</w:t>
            </w:r>
          </w:p>
        </w:tc>
        <w:tc>
          <w:tcPr>
            <w:tcW w:type="dxa" w:w="5616"/>
            <w:vAlign w:val="top"/>
          </w:tcPr>
          <w:p>
            <w:pPr>
              <w:spacing w:before="40" w:after="40"/>
            </w:pPr>
            <w:r/>
            <w:r>
              <w:rPr>
                <w:sz w:val="19"/>
              </w:rPr>
              <w:t>Sequence auto-resumes on stated return date + 1 business day; treated as no-reply continuation.</w:t>
            </w:r>
          </w:p>
        </w:tc>
      </w:tr>
      <w:tr>
        <w:tc>
          <w:tcPr>
            <w:tcW w:type="dxa" w:w="432"/>
            <w:vAlign w:val="top"/>
            <w:shd w:val="clear" w:color="auto" w:fill="EDF2F7"/>
          </w:tcPr>
          <w:p>
            <w:pPr>
              <w:spacing w:before="40" w:after="40"/>
            </w:pPr>
            <w:r/>
            <w:r>
              <w:rPr>
                <w:b/>
                <w:sz w:val="19"/>
              </w:rPr>
              <w:t>11</w:t>
            </w:r>
          </w:p>
        </w:tc>
        <w:tc>
          <w:tcPr>
            <w:tcW w:type="dxa" w:w="3744"/>
            <w:vAlign w:val="top"/>
            <w:shd w:val="clear" w:color="auto" w:fill="EDF2F7"/>
          </w:tcPr>
          <w:p>
            <w:pPr>
              <w:spacing w:before="40" w:after="40"/>
            </w:pPr>
            <w:r/>
            <w:r>
              <w:rPr>
                <w:sz w:val="19"/>
              </w:rPr>
              <w:t>Two contacts at same buyer reply at the same time with conflicting messages</w:t>
            </w:r>
          </w:p>
        </w:tc>
        <w:tc>
          <w:tcPr>
            <w:tcW w:type="dxa" w:w="5616"/>
            <w:vAlign w:val="top"/>
            <w:shd w:val="clear" w:color="auto" w:fill="EDF2F7"/>
          </w:tcPr>
          <w:p>
            <w:pPr>
              <w:spacing w:before="40" w:after="40"/>
            </w:pPr>
            <w:r/>
            <w:r>
              <w:rPr>
                <w:sz w:val="19"/>
              </w:rPr>
              <w:t>Positive reply wins; sequence cancels for the negative responder; user notified of conflict.</w:t>
            </w:r>
          </w:p>
        </w:tc>
      </w:tr>
    </w:tbl>
    <w:p>
      <w:pPr>
        <w:spacing w:after="40"/>
      </w:pPr>
    </w:p>
    <w:p>
      <w:pPr>
        <w:spacing w:before="240" w:after="120"/>
      </w:pPr>
      <w:r>
        <w:rPr>
          <w:b/>
          <w:color w:val="1F3A5F"/>
          <w:sz w:val="26"/>
        </w:rPr>
        <w:t>16.3 NDA Execution</w:t>
      </w:r>
    </w:p>
    <w:tbl>
      <w:tblPr>
        <w:tblStyle w:val="TableGrid"/>
        <w:tblW w:type="auto" w:w="0"/>
        <w:jc w:val="left"/>
        <w:tblLook w:firstColumn="1" w:firstRow="1" w:lastColumn="0" w:lastRow="0" w:noHBand="0" w:noVBand="1" w:val="04A0"/>
      </w:tblPr>
      <w:tblGrid>
        <w:gridCol w:w="3249"/>
        <w:gridCol w:w="3249"/>
        <w:gridCol w:w="3249"/>
      </w:tblGrid>
      <w:tr>
        <w:tc>
          <w:tcPr>
            <w:tcW w:type="dxa" w:w="432"/>
            <w:shd w:val="clear" w:color="auto" w:fill="1F3A5F"/>
            <w:vAlign w:val="center"/>
          </w:tcPr>
          <w:p>
            <w:pPr>
              <w:spacing w:before="40" w:after="40"/>
            </w:pPr>
            <w:r/>
            <w:r>
              <w:rPr>
                <w:b/>
                <w:color w:val="FFFFFF"/>
                <w:sz w:val="20"/>
              </w:rPr>
              <w:t>#</w:t>
            </w:r>
          </w:p>
        </w:tc>
        <w:tc>
          <w:tcPr>
            <w:tcW w:type="dxa" w:w="3744"/>
            <w:shd w:val="clear" w:color="auto" w:fill="1F3A5F"/>
            <w:vAlign w:val="center"/>
          </w:tcPr>
          <w:p>
            <w:pPr>
              <w:spacing w:before="40" w:after="40"/>
            </w:pPr>
            <w:r/>
            <w:r>
              <w:rPr>
                <w:b/>
                <w:color w:val="FFFFFF"/>
                <w:sz w:val="20"/>
              </w:rPr>
              <w:t>Edge case</w:t>
            </w:r>
          </w:p>
        </w:tc>
        <w:tc>
          <w:tcPr>
            <w:tcW w:type="dxa" w:w="5616"/>
            <w:shd w:val="clear" w:color="auto" w:fill="1F3A5F"/>
            <w:vAlign w:val="center"/>
          </w:tcPr>
          <w:p>
            <w:pPr>
              <w:spacing w:before="40" w:after="40"/>
            </w:pPr>
            <w:r/>
            <w:r>
              <w:rPr>
                <w:b/>
                <w:color w:val="FFFFFF"/>
                <w:sz w:val="20"/>
              </w:rPr>
              <w:t>Platform behavior</w:t>
            </w:r>
          </w:p>
        </w:tc>
      </w:tr>
      <w:tr>
        <w:tc>
          <w:tcPr>
            <w:tcW w:type="dxa" w:w="432"/>
            <w:vAlign w:val="top"/>
          </w:tcPr>
          <w:p>
            <w:pPr>
              <w:spacing w:before="40" w:after="40"/>
            </w:pPr>
            <w:r/>
            <w:r>
              <w:rPr>
                <w:b/>
                <w:sz w:val="19"/>
              </w:rPr>
              <w:t>12</w:t>
            </w:r>
          </w:p>
        </w:tc>
        <w:tc>
          <w:tcPr>
            <w:tcW w:type="dxa" w:w="3744"/>
            <w:vAlign w:val="top"/>
          </w:tcPr>
          <w:p>
            <w:pPr>
              <w:spacing w:before="40" w:after="40"/>
            </w:pPr>
            <w:r/>
            <w:r>
              <w:rPr>
                <w:sz w:val="19"/>
              </w:rPr>
              <w:t>Buyer signs wet-ink AND modifies the document</w:t>
            </w:r>
          </w:p>
        </w:tc>
        <w:tc>
          <w:tcPr>
            <w:tcW w:type="dxa" w:w="5616"/>
            <w:vAlign w:val="top"/>
          </w:tcPr>
          <w:p>
            <w:pPr>
              <w:spacing w:before="40" w:after="40"/>
            </w:pPr>
            <w:r/>
            <w:r>
              <w:rPr>
                <w:sz w:val="19"/>
              </w:rPr>
              <w:t>User uploads PDF; platform diffs vs original; ANY change → legal review hand-off; after approval, user re-triggers DocuSign with agreed version.</w:t>
            </w:r>
          </w:p>
        </w:tc>
      </w:tr>
      <w:tr>
        <w:tc>
          <w:tcPr>
            <w:tcW w:type="dxa" w:w="432"/>
            <w:vAlign w:val="top"/>
            <w:shd w:val="clear" w:color="auto" w:fill="EDF2F7"/>
          </w:tcPr>
          <w:p>
            <w:pPr>
              <w:spacing w:before="40" w:after="40"/>
            </w:pPr>
            <w:r/>
            <w:r>
              <w:rPr>
                <w:b/>
                <w:sz w:val="19"/>
              </w:rPr>
              <w:t>13</w:t>
            </w:r>
          </w:p>
        </w:tc>
        <w:tc>
          <w:tcPr>
            <w:tcW w:type="dxa" w:w="3744"/>
            <w:vAlign w:val="top"/>
            <w:shd w:val="clear" w:color="auto" w:fill="EDF2F7"/>
          </w:tcPr>
          <w:p>
            <w:pPr>
              <w:spacing w:before="40" w:after="40"/>
            </w:pPr>
            <w:r/>
            <w:r>
              <w:rPr>
                <w:sz w:val="19"/>
              </w:rPr>
              <w:t>NDA Authoriser unavailable or has left the client organisation</w:t>
            </w:r>
          </w:p>
        </w:tc>
        <w:tc>
          <w:tcPr>
            <w:tcW w:type="dxa" w:w="5616"/>
            <w:vAlign w:val="top"/>
            <w:shd w:val="clear" w:color="auto" w:fill="EDF2F7"/>
          </w:tcPr>
          <w:p>
            <w:pPr>
              <w:spacing w:before="40" w:after="40"/>
            </w:pPr>
            <w:r/>
            <w:r>
              <w:rPr>
                <w:sz w:val="19"/>
              </w:rPr>
              <w:t>User updates per-buyer Authoriser override; envelope re-routes to new authoriser.</w:t>
            </w:r>
          </w:p>
        </w:tc>
      </w:tr>
      <w:tr>
        <w:tc>
          <w:tcPr>
            <w:tcW w:type="dxa" w:w="432"/>
            <w:vAlign w:val="top"/>
          </w:tcPr>
          <w:p>
            <w:pPr>
              <w:spacing w:before="40" w:after="40"/>
            </w:pPr>
            <w:r/>
            <w:r>
              <w:rPr>
                <w:b/>
                <w:sz w:val="19"/>
              </w:rPr>
              <w:t>14</w:t>
            </w:r>
          </w:p>
        </w:tc>
        <w:tc>
          <w:tcPr>
            <w:tcW w:type="dxa" w:w="3744"/>
            <w:vAlign w:val="top"/>
          </w:tcPr>
          <w:p>
            <w:pPr>
              <w:spacing w:before="40" w:after="40"/>
            </w:pPr>
            <w:r/>
            <w:r>
              <w:rPr>
                <w:sz w:val="19"/>
              </w:rPr>
              <w:t>NDA goes stale (60+ days, no countersign)</w:t>
            </w:r>
          </w:p>
        </w:tc>
        <w:tc>
          <w:tcPr>
            <w:tcW w:type="dxa" w:w="5616"/>
            <w:vAlign w:val="top"/>
          </w:tcPr>
          <w:p>
            <w:pPr>
              <w:spacing w:before="40" w:after="40"/>
            </w:pPr>
            <w:r/>
            <w:r>
              <w:rPr>
                <w:sz w:val="19"/>
              </w:rPr>
              <w:t>Dashboard alerts at Day 3, 14, 30, 60; one-click DocuSign reminder action throughout.</w:t>
            </w:r>
          </w:p>
        </w:tc>
      </w:tr>
      <w:tr>
        <w:tc>
          <w:tcPr>
            <w:tcW w:type="dxa" w:w="432"/>
            <w:vAlign w:val="top"/>
            <w:shd w:val="clear" w:color="auto" w:fill="EDF2F7"/>
          </w:tcPr>
          <w:p>
            <w:pPr>
              <w:spacing w:before="40" w:after="40"/>
            </w:pPr>
            <w:r/>
            <w:r>
              <w:rPr>
                <w:b/>
                <w:sz w:val="19"/>
              </w:rPr>
              <w:t>15</w:t>
            </w:r>
          </w:p>
        </w:tc>
        <w:tc>
          <w:tcPr>
            <w:tcW w:type="dxa" w:w="3744"/>
            <w:vAlign w:val="top"/>
            <w:shd w:val="clear" w:color="auto" w:fill="EDF2F7"/>
          </w:tcPr>
          <w:p>
            <w:pPr>
              <w:spacing w:before="40" w:after="40"/>
            </w:pPr>
            <w:r/>
            <w:r>
              <w:rPr>
                <w:sz w:val="19"/>
              </w:rPr>
              <w:t>Buyer signs NDA but never engages further</w:t>
            </w:r>
          </w:p>
        </w:tc>
        <w:tc>
          <w:tcPr>
            <w:tcW w:type="dxa" w:w="5616"/>
            <w:vAlign w:val="top"/>
            <w:shd w:val="clear" w:color="auto" w:fill="EDF2F7"/>
          </w:tcPr>
          <w:p>
            <w:pPr>
              <w:spacing w:before="40" w:after="40"/>
            </w:pPr>
            <w:r/>
            <w:r>
              <w:rPr>
                <w:sz w:val="19"/>
              </w:rPr>
              <w:t>Stays in Ready state with no meeting; Ready, no engagement indicator in dashboard; user discretion on meeting trigger.</w:t>
            </w:r>
          </w:p>
        </w:tc>
      </w:tr>
      <w:tr>
        <w:tc>
          <w:tcPr>
            <w:tcW w:type="dxa" w:w="432"/>
            <w:vAlign w:val="top"/>
          </w:tcPr>
          <w:p>
            <w:pPr>
              <w:spacing w:before="40" w:after="40"/>
            </w:pPr>
            <w:r/>
            <w:r>
              <w:rPr>
                <w:b/>
                <w:sz w:val="19"/>
              </w:rPr>
              <w:t>16</w:t>
            </w:r>
          </w:p>
        </w:tc>
        <w:tc>
          <w:tcPr>
            <w:tcW w:type="dxa" w:w="3744"/>
            <w:vAlign w:val="top"/>
          </w:tcPr>
          <w:p>
            <w:pPr>
              <w:spacing w:before="40" w:after="40"/>
            </w:pPr>
            <w:r/>
            <w:r>
              <w:rPr>
                <w:sz w:val="19"/>
              </w:rPr>
              <w:t>Buyer being acquired themselves mid-process (or any reason to pause)</w:t>
            </w:r>
          </w:p>
        </w:tc>
        <w:tc>
          <w:tcPr>
            <w:tcW w:type="dxa" w:w="5616"/>
            <w:vAlign w:val="top"/>
          </w:tcPr>
          <w:p>
            <w:pPr>
              <w:spacing w:before="40" w:after="40"/>
            </w:pPr>
            <w:r/>
            <w:r>
              <w:rPr>
                <w:sz w:val="19"/>
              </w:rPr>
              <w:t>User flags buyer On Hold; sequence pauses for all contacts at that buyer; resumable manually. No reason required.</w:t>
            </w:r>
          </w:p>
        </w:tc>
      </w:tr>
    </w:tbl>
    <w:p>
      <w:pPr>
        <w:spacing w:after="40"/>
      </w:pPr>
    </w:p>
    <w:p>
      <w:pPr>
        <w:spacing w:before="240" w:after="120"/>
      </w:pPr>
      <w:r>
        <w:rPr>
          <w:b/>
          <w:color w:val="1F3A5F"/>
          <w:sz w:val="26"/>
        </w:rPr>
        <w:t>16.4 Operational</w:t>
      </w:r>
    </w:p>
    <w:tbl>
      <w:tblPr>
        <w:tblStyle w:val="TableGrid"/>
        <w:tblW w:type="auto" w:w="0"/>
        <w:jc w:val="left"/>
        <w:tblLook w:firstColumn="1" w:firstRow="1" w:lastColumn="0" w:lastRow="0" w:noHBand="0" w:noVBand="1" w:val="04A0"/>
      </w:tblPr>
      <w:tblGrid>
        <w:gridCol w:w="3249"/>
        <w:gridCol w:w="3249"/>
        <w:gridCol w:w="3249"/>
      </w:tblGrid>
      <w:tr>
        <w:tc>
          <w:tcPr>
            <w:tcW w:type="dxa" w:w="432"/>
            <w:shd w:val="clear" w:color="auto" w:fill="1F3A5F"/>
            <w:vAlign w:val="center"/>
          </w:tcPr>
          <w:p>
            <w:pPr>
              <w:spacing w:before="40" w:after="40"/>
            </w:pPr>
            <w:r/>
            <w:r>
              <w:rPr>
                <w:b/>
                <w:color w:val="FFFFFF"/>
                <w:sz w:val="20"/>
              </w:rPr>
              <w:t>#</w:t>
            </w:r>
          </w:p>
        </w:tc>
        <w:tc>
          <w:tcPr>
            <w:tcW w:type="dxa" w:w="3744"/>
            <w:shd w:val="clear" w:color="auto" w:fill="1F3A5F"/>
            <w:vAlign w:val="center"/>
          </w:tcPr>
          <w:p>
            <w:pPr>
              <w:spacing w:before="40" w:after="40"/>
            </w:pPr>
            <w:r/>
            <w:r>
              <w:rPr>
                <w:b/>
                <w:color w:val="FFFFFF"/>
                <w:sz w:val="20"/>
              </w:rPr>
              <w:t>Edge case</w:t>
            </w:r>
          </w:p>
        </w:tc>
        <w:tc>
          <w:tcPr>
            <w:tcW w:type="dxa" w:w="5616"/>
            <w:shd w:val="clear" w:color="auto" w:fill="1F3A5F"/>
            <w:vAlign w:val="center"/>
          </w:tcPr>
          <w:p>
            <w:pPr>
              <w:spacing w:before="40" w:after="40"/>
            </w:pPr>
            <w:r/>
            <w:r>
              <w:rPr>
                <w:b/>
                <w:color w:val="FFFFFF"/>
                <w:sz w:val="20"/>
              </w:rPr>
              <w:t>Platform behavior</w:t>
            </w:r>
          </w:p>
        </w:tc>
      </w:tr>
      <w:tr>
        <w:tc>
          <w:tcPr>
            <w:tcW w:type="dxa" w:w="432"/>
            <w:vAlign w:val="top"/>
          </w:tcPr>
          <w:p>
            <w:pPr>
              <w:spacing w:before="40" w:after="40"/>
            </w:pPr>
            <w:r/>
            <w:r>
              <w:rPr>
                <w:b/>
                <w:sz w:val="19"/>
              </w:rPr>
              <w:t>17</w:t>
            </w:r>
          </w:p>
        </w:tc>
        <w:tc>
          <w:tcPr>
            <w:tcW w:type="dxa" w:w="3744"/>
            <w:vAlign w:val="top"/>
          </w:tcPr>
          <w:p>
            <w:pPr>
              <w:spacing w:before="40" w:after="40"/>
            </w:pPr>
            <w:r/>
            <w:r>
              <w:rPr>
                <w:sz w:val="19"/>
              </w:rPr>
              <w:t>DocuSign outage during NDA send</w:t>
            </w:r>
          </w:p>
        </w:tc>
        <w:tc>
          <w:tcPr>
            <w:tcW w:type="dxa" w:w="5616"/>
            <w:vAlign w:val="top"/>
          </w:tcPr>
          <w:p>
            <w:pPr>
              <w:spacing w:before="40" w:after="40"/>
            </w:pPr>
            <w:r/>
            <w:r>
              <w:rPr>
                <w:sz w:val="19"/>
              </w:rPr>
              <w:t>Retry 3× with exponential backoff; if all fail, dashboard alert; user retries manually or downloads Word for fallback send via Outlook.</w:t>
            </w:r>
          </w:p>
        </w:tc>
      </w:tr>
      <w:tr>
        <w:tc>
          <w:tcPr>
            <w:tcW w:type="dxa" w:w="432"/>
            <w:vAlign w:val="top"/>
            <w:shd w:val="clear" w:color="auto" w:fill="EDF2F7"/>
          </w:tcPr>
          <w:p>
            <w:pPr>
              <w:spacing w:before="40" w:after="40"/>
            </w:pPr>
            <w:r/>
            <w:r>
              <w:rPr>
                <w:b/>
                <w:sz w:val="19"/>
              </w:rPr>
              <w:t>18</w:t>
            </w:r>
          </w:p>
        </w:tc>
        <w:tc>
          <w:tcPr>
            <w:tcW w:type="dxa" w:w="3744"/>
            <w:vAlign w:val="top"/>
            <w:shd w:val="clear" w:color="auto" w:fill="EDF2F7"/>
          </w:tcPr>
          <w:p>
            <w:pPr>
              <w:spacing w:before="40" w:after="40"/>
            </w:pPr>
            <w:r/>
            <w:r>
              <w:rPr>
                <w:sz w:val="19"/>
              </w:rPr>
              <w:t>Apollo / sending mailbox outage</w:t>
            </w:r>
          </w:p>
        </w:tc>
        <w:tc>
          <w:tcPr>
            <w:tcW w:type="dxa" w:w="5616"/>
            <w:vAlign w:val="top"/>
            <w:shd w:val="clear" w:color="auto" w:fill="EDF2F7"/>
          </w:tcPr>
          <w:p>
            <w:pPr>
              <w:spacing w:before="40" w:after="40"/>
            </w:pPr>
            <w:r/>
            <w:r>
              <w:rPr>
                <w:sz w:val="19"/>
              </w:rPr>
              <w:t>Queued sends held; dashboard alert; auto-resume when API healthy.</w:t>
            </w:r>
          </w:p>
        </w:tc>
      </w:tr>
      <w:tr>
        <w:tc>
          <w:tcPr>
            <w:tcW w:type="dxa" w:w="432"/>
            <w:vAlign w:val="top"/>
          </w:tcPr>
          <w:p>
            <w:pPr>
              <w:spacing w:before="40" w:after="40"/>
            </w:pPr>
            <w:r/>
            <w:r>
              <w:rPr>
                <w:b/>
                <w:sz w:val="19"/>
              </w:rPr>
              <w:t>19</w:t>
            </w:r>
          </w:p>
        </w:tc>
        <w:tc>
          <w:tcPr>
            <w:tcW w:type="dxa" w:w="3744"/>
            <w:vAlign w:val="top"/>
          </w:tcPr>
          <w:p>
            <w:pPr>
              <w:spacing w:before="40" w:after="40"/>
            </w:pPr>
            <w:r/>
            <w:r>
              <w:rPr>
                <w:sz w:val="19"/>
              </w:rPr>
              <w:t>LLM outage during reply classification</w:t>
            </w:r>
          </w:p>
        </w:tc>
        <w:tc>
          <w:tcPr>
            <w:tcW w:type="dxa" w:w="5616"/>
            <w:vAlign w:val="top"/>
          </w:tcPr>
          <w:p>
            <w:pPr>
              <w:spacing w:before="40" w:after="40"/>
            </w:pPr>
            <w:r/>
            <w:r>
              <w:rPr>
                <w:sz w:val="19"/>
              </w:rPr>
              <w:t>Reply surfaced with Classification unavailable tag; user classifies manually; fallback LLM tried first if available.</w:t>
            </w:r>
          </w:p>
        </w:tc>
      </w:tr>
      <w:tr>
        <w:tc>
          <w:tcPr>
            <w:tcW w:type="dxa" w:w="432"/>
            <w:vAlign w:val="top"/>
            <w:shd w:val="clear" w:color="auto" w:fill="EDF2F7"/>
          </w:tcPr>
          <w:p>
            <w:pPr>
              <w:spacing w:before="40" w:after="40"/>
            </w:pPr>
            <w:r/>
            <w:r>
              <w:rPr>
                <w:b/>
                <w:sz w:val="19"/>
              </w:rPr>
              <w:t>20</w:t>
            </w:r>
          </w:p>
        </w:tc>
        <w:tc>
          <w:tcPr>
            <w:tcW w:type="dxa" w:w="3744"/>
            <w:vAlign w:val="top"/>
            <w:shd w:val="clear" w:color="auto" w:fill="EDF2F7"/>
          </w:tcPr>
          <w:p>
            <w:pPr>
              <w:spacing w:before="40" w:after="40"/>
            </w:pPr>
            <w:r/>
            <w:r>
              <w:rPr>
                <w:sz w:val="19"/>
              </w:rPr>
              <w:t>Mandate cancelled mid-flight (deal pulled)</w:t>
            </w:r>
          </w:p>
        </w:tc>
        <w:tc>
          <w:tcPr>
            <w:tcW w:type="dxa" w:w="5616"/>
            <w:vAlign w:val="top"/>
            <w:shd w:val="clear" w:color="auto" w:fill="EDF2F7"/>
          </w:tcPr>
          <w:p>
            <w:pPr>
              <w:spacing w:before="40" w:after="40"/>
            </w:pPr>
            <w:r/>
            <w:r>
              <w:rPr>
                <w:sz w:val="19"/>
              </w:rPr>
              <w:t>One-click Cancel mandate cancels all queued sends; preserves audit trail; buyers transition to Mandate Cancelled terminal state.</w:t>
            </w:r>
          </w:p>
        </w:tc>
      </w:tr>
    </w:tbl>
    <w:p>
      <w:pPr>
        <w:spacing w:after="40"/>
      </w:pPr>
    </w:p>
    <w:p>
      <w:r>
        <w:br w:type="page"/>
      </w:r>
    </w:p>
    <w:p>
      <w:pPr>
        <w:spacing w:before="240" w:after="120"/>
        <w:pBdr>
          <w:bottom w:val="single" w:sz="6" w:space="1" w:color="1F3A5F"/>
        </w:pBdr>
      </w:pPr>
      <w:r>
        <w:rPr>
          <w:b/>
          <w:color w:val="1F3A5F"/>
          <w:sz w:val="32"/>
        </w:rPr>
        <w:t>17. Build Phasing</w:t>
      </w:r>
    </w:p>
    <w:p>
      <w:pPr>
        <w:spacing w:before="0" w:after="80"/>
      </w:pPr>
      <w:r>
        <w:rPr>
          <w:b w:val="0"/>
          <w:i w:val="0"/>
          <w:sz w:val="21"/>
        </w:rPr>
      </w:r>
      <w:r>
        <w:rPr>
          <w:sz w:val="21"/>
        </w:rPr>
        <w:t>Three-phase build sequenced to deliver functional value early. Option A confirmed — Zoho skipped entirely; HubSpot is togglable and switched on once HubSpot is stood up at Velocity Capital.</w:t>
      </w:r>
    </w:p>
    <w:p>
      <w:pPr>
        <w:spacing w:before="120" w:after="40"/>
        <w:jc w:val="center"/>
      </w:pPr>
      <w:r>
        <w:drawing>
          <wp:inline xmlns:a="http://schemas.openxmlformats.org/drawingml/2006/main" xmlns:pic="http://schemas.openxmlformats.org/drawingml/2006/picture">
            <wp:extent cx="6035040" cy="2761401"/>
            <wp:docPr id="8" name="Picture 8"/>
            <wp:cNvGraphicFramePr>
              <a:graphicFrameLocks noChangeAspect="1"/>
            </wp:cNvGraphicFramePr>
            <a:graphic>
              <a:graphicData uri="http://schemas.openxmlformats.org/drawingml/2006/picture">
                <pic:pic>
                  <pic:nvPicPr>
                    <pic:cNvPr id="0" name="07_phasing.png"/>
                    <pic:cNvPicPr/>
                  </pic:nvPicPr>
                  <pic:blipFill>
                    <a:blip r:embed="rId16"/>
                    <a:stretch>
                      <a:fillRect/>
                    </a:stretch>
                  </pic:blipFill>
                  <pic:spPr>
                    <a:xfrm>
                      <a:off x="0" y="0"/>
                      <a:ext cx="6035040" cy="2761401"/>
                    </a:xfrm>
                    <a:prstGeom prst="rect"/>
                  </pic:spPr>
                </pic:pic>
              </a:graphicData>
            </a:graphic>
          </wp:inline>
        </w:drawing>
      </w:r>
    </w:p>
    <w:p>
      <w:pPr>
        <w:spacing w:after="160"/>
        <w:jc w:val="center"/>
      </w:pPr>
      <w:r>
        <w:rPr>
          <w:i/>
          <w:color w:val="4A5568"/>
          <w:sz w:val="18"/>
        </w:rPr>
        <w:t>Figure 7. Build phasing roadmap.</w:t>
      </w:r>
    </w:p>
    <w:p>
      <w:pPr>
        <w:spacing w:before="240" w:after="120"/>
      </w:pPr>
      <w:r>
        <w:rPr>
          <w:b/>
          <w:color w:val="1F3A5F"/>
          <w:sz w:val="26"/>
        </w:rPr>
        <w:t>17.1 Phase Scope and Indicative Cost</w:t>
      </w:r>
    </w:p>
    <w:tbl>
      <w:tblPr>
        <w:tblStyle w:val="TableGrid"/>
        <w:tblW w:type="auto" w:w="0"/>
        <w:jc w:val="left"/>
        <w:tblLook w:firstColumn="1" w:firstRow="1" w:lastColumn="0" w:lastRow="0" w:noHBand="0" w:noVBand="1" w:val="04A0"/>
      </w:tblPr>
      <w:tblGrid>
        <w:gridCol w:w="3249"/>
        <w:gridCol w:w="3249"/>
      </w:tblGrid>
      <w:tr>
        <w:tc>
          <w:tcPr>
            <w:tcW w:type="dxa" w:w="2016"/>
            <w:shd w:val="clear" w:color="auto" w:fill="1F3A5F"/>
            <w:vAlign w:val="center"/>
          </w:tcPr>
          <w:p>
            <w:pPr>
              <w:spacing w:before="40" w:after="40"/>
            </w:pPr>
            <w:r/>
            <w:r>
              <w:rPr>
                <w:b/>
                <w:color w:val="FFFFFF"/>
                <w:sz w:val="20"/>
              </w:rPr>
              <w:t>Phase</w:t>
            </w:r>
          </w:p>
        </w:tc>
        <w:tc>
          <w:tcPr>
            <w:tcW w:type="dxa" w:w="5760"/>
            <w:shd w:val="clear" w:color="auto" w:fill="1F3A5F"/>
            <w:vAlign w:val="center"/>
          </w:tcPr>
          <w:p>
            <w:pPr>
              <w:spacing w:before="40" w:after="40"/>
            </w:pPr>
            <w:r/>
            <w:r>
              <w:rPr>
                <w:b/>
                <w:color w:val="FFFFFF"/>
                <w:sz w:val="20"/>
              </w:rPr>
              <w:t>Scope</w:t>
            </w:r>
          </w:p>
        </w:tc>
      </w:tr>
      <w:tr>
        <w:tc>
          <w:tcPr>
            <w:tcW w:type="dxa" w:w="2016"/>
            <w:vAlign w:val="top"/>
          </w:tcPr>
          <w:p>
            <w:pPr>
              <w:spacing w:before="40" w:after="40"/>
            </w:pPr>
            <w:r/>
            <w:r>
              <w:rPr>
                <w:b/>
                <w:sz w:val="19"/>
              </w:rPr>
              <w:t>Phase 1 — MVP</w:t>
            </w:r>
          </w:p>
        </w:tc>
        <w:tc>
          <w:tcPr>
            <w:tcW w:type="dxa" w:w="5760"/>
            <w:vAlign w:val="top"/>
          </w:tcPr>
          <w:p>
            <w:pPr>
              <w:spacing w:before="40" w:after="40"/>
            </w:pPr>
            <w:r/>
            <w:r>
              <w:rPr>
                <w:sz w:val="19"/>
              </w:rPr>
              <w:t>Mandate setup, multi-user scaffold, two-file comparables.ai import + fuzzy join, exclusion list validation, enrichment waterfall (RocketReach / Apollo / Hunter) with HITL Clay gate, email verification waterfall, Apollo sending and Day 0/3/7/14 cadence, template authoring + merge fields, reply auto-pause + manual resume, pipeline dashboard, full audit log.</w:t>
            </w:r>
          </w:p>
        </w:tc>
      </w:tr>
      <w:tr>
        <w:tc>
          <w:tcPr>
            <w:tcW w:type="dxa" w:w="2016"/>
            <w:vAlign w:val="top"/>
            <w:shd w:val="clear" w:color="auto" w:fill="EDF2F7"/>
          </w:tcPr>
          <w:p>
            <w:pPr>
              <w:spacing w:before="40" w:after="40"/>
            </w:pPr>
            <w:r/>
            <w:r>
              <w:rPr>
                <w:b/>
                <w:sz w:val="19"/>
              </w:rPr>
              <w:t>Phase 2</w:t>
            </w:r>
          </w:p>
        </w:tc>
        <w:tc>
          <w:tcPr>
            <w:tcW w:type="dxa" w:w="5760"/>
            <w:vAlign w:val="top"/>
            <w:shd w:val="clear" w:color="auto" w:fill="EDF2F7"/>
          </w:tcPr>
          <w:p>
            <w:pPr>
              <w:spacing w:before="40" w:after="40"/>
            </w:pPr>
            <w:r/>
            <w:r>
              <w:rPr>
                <w:sz w:val="19"/>
              </w:rPr>
              <w:t>NDA workflow with three signing paths (electronic / wet-ink / Word), DocuSign API + reminders, Authoriser auto-routing + per-buyer override, pre-fill token substitution, diff detection (ANY change → legal review), multi-recipient staggering (up to 6), bounce escalation + IT-block auto-pause, OneDrive connector, document version management, togglable HubSpot integration.</w:t>
            </w:r>
          </w:p>
        </w:tc>
      </w:tr>
      <w:tr>
        <w:tc>
          <w:tcPr>
            <w:tcW w:type="dxa" w:w="2016"/>
            <w:vAlign w:val="top"/>
          </w:tcPr>
          <w:p>
            <w:pPr>
              <w:spacing w:before="40" w:after="40"/>
            </w:pPr>
            <w:r/>
            <w:r>
              <w:rPr>
                <w:b/>
                <w:sz w:val="19"/>
              </w:rPr>
              <w:t>Phase 3</w:t>
            </w:r>
          </w:p>
        </w:tc>
        <w:tc>
          <w:tcPr>
            <w:tcW w:type="dxa" w:w="5760"/>
            <w:vAlign w:val="top"/>
          </w:tcPr>
          <w:p>
            <w:pPr>
              <w:spacing w:before="40" w:after="40"/>
            </w:pPr>
            <w:r/>
            <w:r>
              <w:rPr>
                <w:sz w:val="19"/>
              </w:rPr>
              <w:t>Reply classification (6 buckets), post-Ready meeting request flow, MS Bookings + HubSpot Meetings (per-mandate toggle), Direct-NDA pathway, multi-user roles + permissions, call-note free-text field, client reporting PDF export, hardening, UAT.</w:t>
            </w:r>
          </w:p>
        </w:tc>
      </w:tr>
    </w:tbl>
    <w:p>
      <w:pPr>
        <w:spacing w:after="40"/>
      </w:pPr>
    </w:p>
    <w:p>
      <w:pPr>
        <w:spacing w:before="240" w:after="120"/>
        <w:pBdr>
          <w:bottom w:val="single" w:sz="6" w:space="1" w:color="1F3A5F"/>
        </w:pBdr>
      </w:pPr>
      <w:r>
        <w:rPr>
          <w:b/>
          <w:color w:val="1F3A5F"/>
          <w:sz w:val="32"/>
        </w:rPr>
        <w:t>18. Open Items</w:t>
      </w:r>
    </w:p>
    <w:p>
      <w:pPr>
        <w:spacing w:before="240" w:after="120"/>
      </w:pPr>
      <w:r>
        <w:rPr>
          <w:b/>
          <w:color w:val="1F3A5F"/>
          <w:sz w:val="26"/>
        </w:rPr>
        <w:t>18.1 All Specification Decisions Locked</w:t>
      </w:r>
    </w:p>
    <w:p>
      <w:pPr>
        <w:spacing w:before="0" w:after="80"/>
      </w:pPr>
      <w:r>
        <w:rPr>
          <w:b w:val="0"/>
          <w:i w:val="0"/>
          <w:sz w:val="21"/>
        </w:rPr>
        <w:t>Every decision from Sections 1–6 of the inputs deep dive (25 May 2026) is reflected in this document. No specification-level questions remain open.</w:t>
      </w:r>
    </w:p>
    <w:p>
      <w:pPr>
        <w:spacing w:before="240" w:after="120"/>
      </w:pPr>
      <w:r>
        <w:rPr>
          <w:b/>
          <w:color w:val="1F3A5F"/>
          <w:sz w:val="26"/>
        </w:rPr>
        <w:t>18.2 Deferred to Future Phases</w:t>
      </w:r>
    </w:p>
    <w:p>
      <w:pPr>
        <w:pStyle w:val="ListBullet"/>
        <w:spacing w:after="40"/>
      </w:pPr>
      <w:r>
        <w:rPr>
          <w:sz w:val="21"/>
        </w:rPr>
        <w:t>Client portal for in-platform buyer-list visibility — deferred to v2.</w:t>
      </w:r>
    </w:p>
    <w:p>
      <w:pPr>
        <w:pStyle w:val="ListBullet"/>
        <w:spacing w:after="40"/>
      </w:pPr>
      <w:r>
        <w:rPr>
          <w:sz w:val="21"/>
        </w:rPr>
        <w:t>Direct integration with Rogo and comparables.ai for automated buyer sourcing — deferred.</w:t>
      </w:r>
    </w:p>
    <w:p>
      <w:pPr>
        <w:pStyle w:val="ListBullet"/>
        <w:spacing w:after="40"/>
      </w:pPr>
      <w:r>
        <w:rPr>
          <w:sz w:val="21"/>
        </w:rPr>
        <w:t>Active news monitoring for buyer M&amp;A events — deferred (manual On Hold flag used in v1).</w:t>
      </w:r>
    </w:p>
    <w:p>
      <w:pPr>
        <w:pStyle w:val="ListBullet"/>
        <w:spacing w:after="40"/>
      </w:pPr>
      <w:r>
        <w:rPr>
          <w:sz w:val="21"/>
        </w:rPr>
        <w:t>Reply auto-classification fine-tuning using mandate-specific historical data — deferred.</w:t>
      </w:r>
    </w:p>
    <w:p>
      <w:pPr>
        <w:pStyle w:val="ListBullet"/>
        <w:spacing w:after="40"/>
      </w:pPr>
      <w:r>
        <w:rPr>
          <w:sz w:val="21"/>
        </w:rPr>
        <w:t>Mandate handoff into a downstream deal pipeline (HubSpot deal stages) — out of scope for v1.</w:t>
      </w:r>
    </w:p>
    <w:p>
      <w:pPr>
        <w:pStyle w:val="ListBullet"/>
        <w:spacing w:after="40"/>
      </w:pPr>
      <w:r>
        <w:rPr>
          <w:sz w:val="21"/>
        </w:rPr>
        <w:t>Per-row sequence template overrides — deferred to v2.</w:t>
      </w:r>
    </w:p>
    <w:p>
      <w:pPr>
        <w:pStyle w:val="ListBullet"/>
        <w:spacing w:after="40"/>
      </w:pPr>
      <w:r>
        <w:rPr>
          <w:sz w:val="21"/>
        </w:rPr>
        <w:t>Active LLM personalisation of outbound emails — explicitly removed from scope.</w:t>
      </w:r>
    </w:p>
    <w:p>
      <w:pPr>
        <w:spacing w:before="240" w:after="120"/>
      </w:pPr>
      <w:r>
        <w:rPr>
          <w:b/>
          <w:color w:val="1F3A5F"/>
          <w:sz w:val="26"/>
        </w:rPr>
        <w:t>18.3 Build Activities (not specification items)</w:t>
      </w:r>
    </w:p>
    <w:p>
      <w:pPr>
        <w:pStyle w:val="ListBullet"/>
        <w:spacing w:after="40"/>
      </w:pPr>
      <w:r>
        <w:rPr>
          <w:sz w:val="21"/>
        </w:rPr>
        <w:t>Embabel implementation patterns and prompt scaffolding.</w:t>
      </w:r>
    </w:p>
    <w:p>
      <w:pPr>
        <w:pStyle w:val="ListBullet"/>
        <w:spacing w:after="40"/>
      </w:pPr>
      <w:r>
        <w:rPr>
          <w:sz w:val="21"/>
        </w:rPr>
        <w:t>DocuSign Connect / webhook configuration for envelope state callbacks.</w:t>
      </w:r>
    </w:p>
    <w:p>
      <w:pPr>
        <w:pStyle w:val="ListBullet"/>
        <w:spacing w:after="40"/>
      </w:pPr>
      <w:r>
        <w:rPr>
          <w:sz w:val="21"/>
        </w:rPr>
        <w:t>Apollo domain warm-up status and IP reputation monitoring.</w:t>
      </w:r>
    </w:p>
    <w:p>
      <w:pPr>
        <w:pStyle w:val="ListBullet"/>
        <w:spacing w:after="40"/>
      </w:pPr>
      <w:r>
        <w:rPr>
          <w:sz w:val="21"/>
        </w:rPr>
        <w:t>OneDrive Graph API permission scoping at Velocity Capital tenant level.</w:t>
      </w:r>
    </w:p>
    <w:p>
      <w:pPr>
        <w:pStyle w:val="ListBullet"/>
        <w:spacing w:after="40"/>
      </w:pPr>
      <w:r>
        <w:rPr>
          <w:sz w:val="21"/>
        </w:rPr>
        <w:t>Production deployment, monitoring, and on-call runbook.</w:t>
      </w:r>
    </w:p>
    <w:p>
      <w:pPr>
        <w:spacing w:before="240" w:after="120"/>
        <w:pBdr>
          <w:bottom w:val="single" w:sz="6" w:space="1" w:color="1F3A5F"/>
        </w:pBdr>
      </w:pPr>
      <w:r>
        <w:rPr>
          <w:b/>
          <w:color w:val="1F3A5F"/>
          <w:sz w:val="32"/>
        </w:rPr>
        <w:t>19. Document Control</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1152"/>
            <w:shd w:val="clear" w:color="auto" w:fill="1F3A5F"/>
            <w:vAlign w:val="center"/>
          </w:tcPr>
          <w:p>
            <w:pPr>
              <w:spacing w:before="40" w:after="40"/>
            </w:pPr>
            <w:r/>
            <w:r>
              <w:rPr>
                <w:b/>
                <w:color w:val="FFFFFF"/>
                <w:sz w:val="20"/>
              </w:rPr>
              <w:t>Version</w:t>
            </w:r>
          </w:p>
        </w:tc>
        <w:tc>
          <w:tcPr>
            <w:tcW w:type="dxa" w:w="2016"/>
            <w:shd w:val="clear" w:color="auto" w:fill="1F3A5F"/>
            <w:vAlign w:val="center"/>
          </w:tcPr>
          <w:p>
            <w:pPr>
              <w:spacing w:before="40" w:after="40"/>
            </w:pPr>
            <w:r/>
            <w:r>
              <w:rPr>
                <w:b/>
                <w:color w:val="FFFFFF"/>
                <w:sz w:val="20"/>
              </w:rPr>
              <w:t>Date</w:t>
            </w:r>
          </w:p>
        </w:tc>
        <w:tc>
          <w:tcPr>
            <w:tcW w:type="dxa" w:w="3744"/>
            <w:shd w:val="clear" w:color="auto" w:fill="1F3A5F"/>
            <w:vAlign w:val="center"/>
          </w:tcPr>
          <w:p>
            <w:pPr>
              <w:spacing w:before="40" w:after="40"/>
            </w:pPr>
            <w:r/>
            <w:r>
              <w:rPr>
                <w:b/>
                <w:color w:val="FFFFFF"/>
                <w:sz w:val="20"/>
              </w:rPr>
              <w:t>Author</w:t>
            </w:r>
          </w:p>
        </w:tc>
        <w:tc>
          <w:tcPr>
            <w:tcW w:type="dxa" w:w="2880"/>
            <w:shd w:val="clear" w:color="auto" w:fill="1F3A5F"/>
            <w:vAlign w:val="center"/>
          </w:tcPr>
          <w:p>
            <w:pPr>
              <w:spacing w:before="40" w:after="40"/>
            </w:pPr>
            <w:r/>
            <w:r>
              <w:rPr>
                <w:b/>
                <w:color w:val="FFFFFF"/>
                <w:sz w:val="20"/>
              </w:rPr>
              <w:t>Notes</w:t>
            </w:r>
          </w:p>
        </w:tc>
      </w:tr>
      <w:tr>
        <w:tc>
          <w:tcPr>
            <w:tcW w:type="dxa" w:w="1152"/>
            <w:vAlign w:val="top"/>
          </w:tcPr>
          <w:p>
            <w:pPr>
              <w:spacing w:before="40" w:after="40"/>
            </w:pPr>
            <w:r/>
            <w:r>
              <w:rPr>
                <w:b/>
                <w:sz w:val="19"/>
              </w:rPr>
              <w:t>1.0</w:t>
            </w:r>
          </w:p>
        </w:tc>
        <w:tc>
          <w:tcPr>
            <w:tcW w:type="dxa" w:w="2016"/>
            <w:vAlign w:val="top"/>
          </w:tcPr>
          <w:p>
            <w:pPr>
              <w:spacing w:before="40" w:after="40"/>
            </w:pPr>
            <w:r/>
            <w:r>
              <w:rPr>
                <w:sz w:val="19"/>
              </w:rPr>
              <w:t>25 May 2026</w:t>
            </w:r>
          </w:p>
        </w:tc>
        <w:tc>
          <w:tcPr>
            <w:tcW w:type="dxa" w:w="3744"/>
            <w:vAlign w:val="top"/>
          </w:tcPr>
          <w:p>
            <w:pPr>
              <w:spacing w:before="40" w:after="40"/>
            </w:pPr>
            <w:r/>
            <w:r>
              <w:rPr>
                <w:sz w:val="19"/>
              </w:rPr>
              <w:t>Felix (BA), reviewed by Jeremy Pak</w:t>
            </w:r>
          </w:p>
        </w:tc>
        <w:tc>
          <w:tcPr>
            <w:tcW w:type="dxa" w:w="2880"/>
            <w:vAlign w:val="top"/>
          </w:tcPr>
          <w:p>
            <w:pPr>
              <w:spacing w:before="40" w:after="40"/>
            </w:pPr>
            <w:r/>
            <w:r>
              <w:rPr>
                <w:sz w:val="19"/>
              </w:rPr>
              <w:t>Initial locked specification post four-round scoping conversation.</w:t>
            </w:r>
          </w:p>
        </w:tc>
      </w:tr>
      <w:tr>
        <w:tc>
          <w:tcPr>
            <w:tcW w:type="dxa" w:w="1152"/>
            <w:vAlign w:val="top"/>
            <w:shd w:val="clear" w:color="auto" w:fill="EDF2F7"/>
          </w:tcPr>
          <w:p>
            <w:pPr>
              <w:spacing w:before="40" w:after="40"/>
            </w:pPr>
            <w:r/>
            <w:r>
              <w:rPr>
                <w:b/>
                <w:sz w:val="19"/>
              </w:rPr>
              <w:t>2.0</w:t>
            </w:r>
          </w:p>
        </w:tc>
        <w:tc>
          <w:tcPr>
            <w:tcW w:type="dxa" w:w="2016"/>
            <w:vAlign w:val="top"/>
            <w:shd w:val="clear" w:color="auto" w:fill="EDF2F7"/>
          </w:tcPr>
          <w:p>
            <w:pPr>
              <w:spacing w:before="40" w:after="40"/>
            </w:pPr>
            <w:r/>
            <w:r>
              <w:rPr>
                <w:sz w:val="19"/>
              </w:rPr>
              <w:t>25 May 2026</w:t>
            </w:r>
          </w:p>
        </w:tc>
        <w:tc>
          <w:tcPr>
            <w:tcW w:type="dxa" w:w="3744"/>
            <w:vAlign w:val="top"/>
            <w:shd w:val="clear" w:color="auto" w:fill="EDF2F7"/>
          </w:tcPr>
          <w:p>
            <w:pPr>
              <w:spacing w:before="40" w:after="40"/>
            </w:pPr>
            <w:r/>
            <w:r>
              <w:rPr>
                <w:sz w:val="19"/>
              </w:rPr>
              <w:t>Felix (BA), reviewed by Jeremy Pak</w:t>
            </w:r>
          </w:p>
        </w:tc>
        <w:tc>
          <w:tcPr>
            <w:tcW w:type="dxa" w:w="2880"/>
            <w:vAlign w:val="top"/>
            <w:shd w:val="clear" w:color="auto" w:fill="EDF2F7"/>
          </w:tcPr>
          <w:p>
            <w:pPr>
              <w:spacing w:before="40" w:after="40"/>
            </w:pPr>
            <w:r/>
            <w:r>
              <w:rPr>
                <w:sz w:val="19"/>
              </w:rPr>
              <w:t>Consolidated post six-section inputs deep dive. Adds two-file comparables.ai import, up-to-6 contact model, geographic-aware persona waterfall, three-path NDA workflow (electronic / wet-ink / Word), Direct-NDA pathway, On Hold state, 6-bucket reply classification, current vs future state map, 20 edge cases. Removes LLM-generated outbound personalisation.</w:t>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