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INSTRUMENTO PARTICULAR DE COMPROMISSO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 COMPRA E VENDA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4z2lrn4gnbas" w:id="0"/>
      <w:bookmarkEnd w:id="0"/>
      <w:r w:rsidDel="00000000" w:rsidR="00000000" w:rsidRPr="00000000">
        <w:rPr>
          <w:sz w:val="24"/>
          <w:szCs w:val="24"/>
          <w:u w:val="single"/>
          <w:rtl w:val="0"/>
        </w:rPr>
        <w:t xml:space="preserve">Quadro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PRIMEIRA – DAS CONDIÇÕES ESPECÍFICAS DO NEGÓCIO</w:t>
      </w:r>
    </w:p>
    <w:p w:rsidR="00000000" w:rsidDel="00000000" w:rsidP="00000000" w:rsidRDefault="00000000" w:rsidRPr="00000000" w14:paraId="0000000E">
      <w:pP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Fica estabelecido entre as partes que qualquer valor depositado que exceda o montante especificado neste documento deverá ser reembolsado pelo(s)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VENDEDOR(ES)</w:t>
      </w:r>
      <w:r w:rsidDel="00000000" w:rsidR="00000000" w:rsidRPr="00000000">
        <w:rPr>
          <w:sz w:val="24"/>
          <w:szCs w:val="24"/>
          <w:rtl w:val="0"/>
        </w:rPr>
        <w:t xml:space="preserve"> para uma conta bancária de titularidade dos 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de forma imediata, sob pena de multa diária no valor de R$ 1.000,00 (um mil reais) até a efetiva devolução 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Na hipótese de o financiamento ser declarado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maior que o do contrato, as partes concordam que, caso haja custos relacionados ao ganho de capital por não preencherem os requisitos de isenção, este valor será suportado pelo(s)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COMPRADOR(ES),</w:t>
      </w:r>
      <w:r w:rsidDel="00000000" w:rsidR="00000000" w:rsidRPr="00000000">
        <w:rPr>
          <w:sz w:val="24"/>
          <w:szCs w:val="24"/>
          <w:rtl w:val="0"/>
        </w:rPr>
        <w:t xml:space="preserve"> os quais são responsáveis pela transferência do imóvel.</w:t>
      </w:r>
    </w:p>
    <w:p w:rsidR="00000000" w:rsidDel="00000000" w:rsidP="00000000" w:rsidRDefault="00000000" w:rsidRPr="00000000" w14:paraId="00000012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[[PARÁGRAFO]]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-42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SEGUNDA – DO PAGAMENTO:</w:t>
      </w:r>
    </w:p>
    <w:p w:rsidR="00000000" w:rsidDel="00000000" w:rsidP="00000000" w:rsidRDefault="00000000" w:rsidRPr="00000000" w14:paraId="00000017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e forma de pagamento estão descritos no Quadro Resumo, com as indicações de contas efetuadas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Por convenção entre as partes, fica acertado que não incidirá qualquer correção sobre o valor constante das parcelas estampadas, exceto em caso de inadimplência.</w:t>
      </w:r>
    </w:p>
    <w:p w:rsidR="00000000" w:rsidDel="00000000" w:rsidP="00000000" w:rsidRDefault="00000000" w:rsidRPr="00000000" w14:paraId="0000001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Na hipótese de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desejar(em) pagar antecipadamente qualquer parcela do preço, ressalta-se que não terá em nenhuma hipótese, descontos ou diminuição do preço da parcela, devendo neste caso, o valor ser pago no preço original.</w:t>
      </w:r>
    </w:p>
    <w:p w:rsidR="00000000" w:rsidDel="00000000" w:rsidP="00000000" w:rsidRDefault="00000000" w:rsidRPr="00000000" w14:paraId="0000001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A antecipação de pagamento não implicará em novação ou modificação dos critérios estipulados no presente contrato.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64"/>
        </w:tabs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TERCEIRA - DA MORA E INADIMPLEMENTO: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inadimplência, sujeitará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a pagar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- juros moratórios de 1% (um por cento) por mês ou fração;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- multa de mora de 2% (dois por cento) sobre o valor da dívida atualizada;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- honorários advocatícios na base de 20%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vinte por cento</w:t>
      </w:r>
      <w:r w:rsidDel="00000000" w:rsidR="00000000" w:rsidRPr="00000000">
        <w:rPr>
          <w:sz w:val="24"/>
          <w:szCs w:val="24"/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23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sz w:val="24"/>
          <w:szCs w:val="24"/>
          <w:rtl w:val="0"/>
        </w:rPr>
        <w:t xml:space="preserve">: As sanções supramencionadas serão automaticamente aplicadas tão somente pela mora "</w:t>
      </w:r>
      <w:r w:rsidDel="00000000" w:rsidR="00000000" w:rsidRPr="00000000">
        <w:rPr>
          <w:i w:val="1"/>
          <w:sz w:val="24"/>
          <w:szCs w:val="24"/>
          <w:rtl w:val="0"/>
        </w:rPr>
        <w:t xml:space="preserve">ex re</w:t>
      </w:r>
      <w:r w:rsidDel="00000000" w:rsidR="00000000" w:rsidRPr="00000000">
        <w:rPr>
          <w:sz w:val="24"/>
          <w:szCs w:val="24"/>
          <w:rtl w:val="0"/>
        </w:rPr>
        <w:t xml:space="preserve">" independentemente de notificação extrajudicial e/ou interpelação judicial. Fica certo que o recebimento de parcelas em atraso não constituirá novação ou renúncia às garantias previstas.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QUARTA - DOS IMPOSTOS E TAXAS: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impostos e taxas que recaem sobre o imóvel, objeto do presente contrato, correrão por conta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até a data da transmissão da posse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ainda que se trate de obrigação apurada ou lançada no futuro, enquanto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ficará(ão) responsável(is) por tais obrigações a partir de sua imissão na posse do imóvel.</w:t>
      </w:r>
    </w:p>
    <w:p w:rsidR="00000000" w:rsidDel="00000000" w:rsidP="00000000" w:rsidRDefault="00000000" w:rsidRPr="00000000" w14:paraId="00000029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</w:t>
      </w:r>
      <w:r w:rsidDel="00000000" w:rsidR="00000000" w:rsidRPr="00000000">
        <w:rPr>
          <w:sz w:val="24"/>
          <w:szCs w:val="24"/>
          <w:rtl w:val="0"/>
        </w:rPr>
        <w:t xml:space="preserve"> Correrão por conta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todas as despesas referentes a escritura, imposto de transmissão de bens imóveis (ITBI), emolumentos, contribuições e demais cominações legais, provenientes da lavratura da Escritura Pública de Compra e Venda do objeto do presente instrumento, ficando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obrigado(s) a apresentar as certidões pessoais e do imóvel atualizadas, apenas uma vez.</w:t>
      </w:r>
    </w:p>
    <w:p w:rsidR="00000000" w:rsidDel="00000000" w:rsidP="00000000" w:rsidRDefault="00000000" w:rsidRPr="00000000" w14:paraId="0000002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-426" w:firstLine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transferência, escrituração e registro do imóvel só será efetuada após a quitação total de todas as parcelas e encargos previstas no Quadro Resumo e deverá ocorrer no prazo máximo de 90 (noventa) dias após a quitação, sob pena de aplicação de multa diária de R$ 100,00 (cem reais), sem prejuízo das demais cominações aqui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se compromete(m) a transferir a titularidade de todos os impostos e taxas incidentes sobre o imóvel para o seu nome, no prazo máximo de 30 (trinta) dias corridos, contados da sua imissão na posse, sob pena de não o fazendo, incorrer em multa diária de R$100,00 (cem reais), em favor do(s)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VENDEDOR(ES)</w:t>
      </w:r>
      <w:r w:rsidDel="00000000" w:rsidR="00000000" w:rsidRPr="00000000">
        <w:rPr>
          <w:sz w:val="24"/>
          <w:szCs w:val="24"/>
          <w:rtl w:val="0"/>
        </w:rPr>
        <w:t xml:space="preserve">, até a devida transferência ocorrer.</w:t>
      </w:r>
    </w:p>
    <w:p w:rsidR="00000000" w:rsidDel="00000000" w:rsidP="00000000" w:rsidRDefault="00000000" w:rsidRPr="00000000" w14:paraId="0000002F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QUARTO:</w:t>
      </w:r>
      <w:r w:rsidDel="00000000" w:rsidR="00000000" w:rsidRPr="00000000">
        <w:rPr>
          <w:sz w:val="24"/>
          <w:szCs w:val="24"/>
          <w:rtl w:val="0"/>
        </w:rPr>
        <w:t xml:space="preserve"> Caso 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</w:t>
      </w:r>
      <w:r w:rsidDel="00000000" w:rsidR="00000000" w:rsidRPr="00000000">
        <w:rPr>
          <w:sz w:val="24"/>
          <w:szCs w:val="24"/>
          <w:rtl w:val="0"/>
        </w:rPr>
        <w:t xml:space="preserve"> não realize(m) a atualização cadastral de titularidade do imóvel juntos aos órgãos responsáveis 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seja(m) surpreendido(s) com cobranças de impostos, taxas e demais encargos inerentes ao imóvel, após a posse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este(s) responderá(ão) pelas perdas e danos que eventualmente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venha(m) a sofrer em processos de execução fiscal ou cobrança.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-426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QUINTA – DA RESOLUÇÃO POR INADIMPLEMENTO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0" w:line="240" w:lineRule="auto"/>
        <w:ind w:left="-426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ajustam, para a presente venda,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CLÁUSULA RESOLUTIVA EXPRESSA</w:t>
      </w:r>
      <w:r w:rsidDel="00000000" w:rsidR="00000000" w:rsidRPr="00000000">
        <w:rPr>
          <w:sz w:val="24"/>
          <w:szCs w:val="24"/>
          <w:rtl w:val="0"/>
        </w:rPr>
        <w:t xml:space="preserve">, nos termos do artigo 474 do Código Civil Brasileiro em vigor, onde a falta do pagamento de qualquer dos valores estipulados, autorizará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 resolver automaticamente o contrato após notificar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extrajudicialmente com aviso de recebimento ou através do cartório de títulos e documentos, para purgar a mora no prazo de 15 (quinze) dias, contados do recebimento da notificação, resolução esta que se operará em favor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fundando-se no princípio de obrigatoriedade dos contratos.</w:t>
      </w:r>
    </w:p>
    <w:p w:rsidR="00000000" w:rsidDel="00000000" w:rsidP="00000000" w:rsidRDefault="00000000" w:rsidRPr="00000000" w14:paraId="00000035">
      <w:pPr>
        <w:widowControl w:val="0"/>
        <w:spacing w:after="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obriga(m)-se a comunicar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por escrito, qualquer alteração de endereço constante na qualificação, autorizando, desde já, a dispensa da Notificação Extrajudicial em caso de descumprimento e necessidade de resolução.</w:t>
      </w:r>
    </w:p>
    <w:p w:rsidR="00000000" w:rsidDel="00000000" w:rsidP="00000000" w:rsidRDefault="00000000" w:rsidRPr="00000000" w14:paraId="00000037">
      <w:pPr>
        <w:widowControl w:val="0"/>
        <w:spacing w:after="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rtl w:val="0"/>
        </w:rPr>
        <w:t xml:space="preserve"> Em caso de entrega de posse antes da quitação dos valores descritos no Quadro Resumo, havendo atraso no pagamento, superior a 30 (trinta) dias, operará a resolução 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deverá(ão) desocupar o imóvel imediatamente. Em caso de recusa, incidirá o pagamento de multa R$1.000,00 (um mil reais) por dia de ocupação irregular.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SEXTA - DA TRANSMISSÃO DA POSSE: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A posse do objeto do imóvel será transmitida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conforme o prazo previsto no Quadro Resumo. O imóvel deve ser entregue na data prevista sob pena de não o fazendo configurar-se-á esbulho possessório, independentemente de notificação e produção antecipada de provas, com a imputação de multa compensatória em desfavor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no valor de RS 500,00 (quinhentos) reais por dia de ocupação irregular, contabilizada até a data da imissão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na posse.</w:t>
      </w:r>
    </w:p>
    <w:p w:rsidR="00000000" w:rsidDel="00000000" w:rsidP="00000000" w:rsidRDefault="00000000" w:rsidRPr="00000000" w14:paraId="0000003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e VENDEDOR(ES)</w:t>
      </w:r>
      <w:r w:rsidDel="00000000" w:rsidR="00000000" w:rsidRPr="00000000">
        <w:rPr>
          <w:sz w:val="24"/>
          <w:szCs w:val="24"/>
          <w:rtl w:val="0"/>
        </w:rPr>
        <w:t xml:space="preserve"> reconhecem que o imóvel objeto deste contrato constitui uma operação de revenda. Portanto, declaram que realizaram a devida vistoria do(s) imóvel(is) e de seus respectivos itens, reconhecendo e aceitando a condição atual do imóvel. As partes também atestam que o imóvel  foi adquirido em seu estado presente, eximindo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de qualquer responsabilidade quanto à solidez da construção, tendo em vista a inaplicabilidade do artigo 618 do Código Civil ao presente caso.</w:t>
      </w:r>
    </w:p>
    <w:p w:rsidR="00000000" w:rsidDel="00000000" w:rsidP="00000000" w:rsidRDefault="00000000" w:rsidRPr="00000000" w14:paraId="0000003F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-425.1968503937008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TERCEIRO: </w:t>
      </w:r>
      <w:r w:rsidDel="00000000" w:rsidR="00000000" w:rsidRPr="00000000">
        <w:rPr>
          <w:sz w:val="24"/>
          <w:szCs w:val="24"/>
          <w:rtl w:val="0"/>
        </w:rPr>
        <w:t xml:space="preserve">Todas as despesas incidentes sobre o imóvel objeto deste contrato, incluindo, mas não se limitando, a taxas condominiais, tarifas de água e energia elétrica, bem como tributos e impostos de qualquer natureza, serão de exclusiva responsabilidade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data da imissão na posse pelo(a)(s)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conforme estabelecido no Quadro Resumo deste instrumento. A partir da referida data, tais encargos passam a ser integralmente de responsabilidade do(a)(s)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COMPRADOR(ES),</w:t>
      </w:r>
      <w:r w:rsidDel="00000000" w:rsidR="00000000" w:rsidRPr="00000000">
        <w:rPr>
          <w:sz w:val="24"/>
          <w:szCs w:val="24"/>
          <w:rtl w:val="0"/>
        </w:rPr>
        <w:t xml:space="preserve"> independentemente da formalização de escritura pública ou registro do título aquisitivo.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SÉTIMA - DA IRREVOGABILIDADE, IRRETRATABILIDADE E MULTA PENAL: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 </w:t>
      </w:r>
      <w:r w:rsidDel="00000000" w:rsidR="00000000" w:rsidRPr="00000000">
        <w:rPr>
          <w:sz w:val="24"/>
          <w:szCs w:val="24"/>
          <w:rtl w:val="0"/>
        </w:rPr>
        <w:t xml:space="preserve">renunciam expressamente ao direito de arrependimento e dão à transação, objeto deste contrato, o caráter de irrevogável e irretratável para todos os efeitos legais, estipulando a título de cláusula penal o percentual de 10%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dez por cento</w:t>
      </w:r>
      <w:r w:rsidDel="00000000" w:rsidR="00000000" w:rsidRPr="00000000">
        <w:rPr>
          <w:sz w:val="24"/>
          <w:szCs w:val="24"/>
          <w:rtl w:val="0"/>
        </w:rPr>
        <w:t xml:space="preserve">) do valor do negócio devido à PARTE inocente pela PARTE que infringir qualquer cláusula deste instrumento.</w:t>
      </w:r>
    </w:p>
    <w:p w:rsidR="00000000" w:rsidDel="00000000" w:rsidP="00000000" w:rsidRDefault="00000000" w:rsidRPr="00000000" w14:paraId="00000045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sz w:val="24"/>
          <w:szCs w:val="24"/>
          <w:rtl w:val="0"/>
        </w:rPr>
        <w:t xml:space="preserve">: Caso a resilição do presente instrumento Particular de Contrato de Compromisso de Compra e Venda opere por culpa exclusiva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está(ão) desde já autorizada a fazer a retenção do valor dado em sinal/arras, aplicar multa penal de 10% (dez por cento) sobre o valor do contrato e reter eventuais cutos de intermediação, restiuindo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somente o valor remanescente, se houver. Caso se opere por culpa exclusiva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fica(m) este(s) obrigado(s) a restituir o montante até então recebido, de forma imediata, acrescido da multa penal estipulada no Caput da presente cláusula.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OITAVA - DA INTERMEDIAÇÃO IMOBILIÁRIA E COMISSÃO: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b w:val="1"/>
          <w:sz w:val="24"/>
          <w:szCs w:val="24"/>
          <w:rtl w:val="0"/>
        </w:rPr>
        <w:t xml:space="preserve"> PARTES </w:t>
      </w:r>
      <w:r w:rsidDel="00000000" w:rsidR="00000000" w:rsidRPr="00000000">
        <w:rPr>
          <w:sz w:val="24"/>
          <w:szCs w:val="24"/>
          <w:rtl w:val="0"/>
        </w:rPr>
        <w:t xml:space="preserve">declaram que os corretores de imóveis ao aproximarem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, ofereceram dados rigorosamente certos sobre o imóvel, não omitiram informações e esclareceram sobre os riscos e demais circunstâncias que pudessem influenciar o negócio.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declaram que previamente examinaram o título aquisitivo, a escritura e as certidões declaradas neste instrumento, e isentam os corretores de imóveis acerca da veracidade desses documentos.</w:t>
      </w:r>
    </w:p>
    <w:p w:rsidR="00000000" w:rsidDel="00000000" w:rsidP="00000000" w:rsidRDefault="00000000" w:rsidRPr="00000000" w14:paraId="0000004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A responsabilidade dos profissionais que promovam a intermediação imobiliária se limita à intermediação da presente avença, excluindo quaisquer obrigações assumidas pelas partes contratantes, bem como os corretores não responderão pelo cumprimento deste contrato em nome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e/ou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enquanto os honorários de intermediação são fixados com base nas disposições da livre negociação de um direito disponível.</w:t>
      </w:r>
    </w:p>
    <w:p w:rsidR="00000000" w:rsidDel="00000000" w:rsidP="00000000" w:rsidRDefault="00000000" w:rsidRPr="00000000" w14:paraId="0000004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sz w:val="24"/>
          <w:szCs w:val="24"/>
          <w:rtl w:val="0"/>
        </w:rPr>
        <w:t xml:space="preserve">: Fica expressamente avençado que o não cumprimento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das obrigações assumidas por meio deste expediente, não se constituirá em motivo para o não recebimento da comissão de direito do intermediador, vez que exaurida sua atividade. </w:t>
      </w:r>
    </w:p>
    <w:p w:rsidR="00000000" w:rsidDel="00000000" w:rsidP="00000000" w:rsidRDefault="00000000" w:rsidRPr="00000000" w14:paraId="0000004F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TERCEIRO:</w:t>
      </w:r>
      <w:r w:rsidDel="00000000" w:rsidR="00000000" w:rsidRPr="00000000">
        <w:rPr>
          <w:sz w:val="24"/>
          <w:szCs w:val="24"/>
          <w:rtl w:val="0"/>
        </w:rPr>
        <w:t xml:space="preserve"> Nos moldes do que ditam os artigos 722 a 729 do Código Civil Brasileiro, as partes expressam ciência e aceitação de que a eventual resolução do contrato em razão do não cumprimento de qualquer uma das partes, não implica na perda do direito de recebimento da comissão. </w:t>
      </w:r>
    </w:p>
    <w:p w:rsidR="00000000" w:rsidDel="00000000" w:rsidP="00000000" w:rsidRDefault="00000000" w:rsidRPr="00000000" w14:paraId="00000051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</w:t>
      </w:r>
      <w:r w:rsidDel="00000000" w:rsidR="00000000" w:rsidRPr="00000000">
        <w:rPr>
          <w:sz w:val="24"/>
          <w:szCs w:val="24"/>
          <w:rtl w:val="0"/>
        </w:rPr>
        <w:t xml:space="preserve">: Desde já a parte responsável pelo pagamento da comissão fica(m) ciente(s) que, após o 5º (quinto) dia de atraso no pagamento dos honorários de intermediação, estará(ão) sujeito(s) à inclusão do débito nos cadastros restritivos de crédito, sem a necessidade de prévia notificação como também aplicação de juros moratórios de 1% (um por cento) por mês ou fração;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- multa de mora de 10% (dez por cento) sobre o valor da dívida atualizada;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- honorários advocatícios na base de 20%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vinte por cento</w:t>
      </w:r>
      <w:r w:rsidDel="00000000" w:rsidR="00000000" w:rsidRPr="00000000">
        <w:rPr>
          <w:sz w:val="24"/>
          <w:szCs w:val="24"/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53">
      <w:pPr>
        <w:spacing w:after="0" w:line="276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NONA– DOS HONORÁRIOS ADVOCATÍCIOS: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necessidade de interpelação judicial ou extrajudicial para resolução de qualquer conflito ou descumprimento das cláusulas alinhavadas, será devido o percentual na base de 20% (vinte por cento) do valor do débito e serão acrescidos eventuais custos processuais e despesas advocatícias comprovadas.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– DAS DEMAIS DISPOSIÇÕES: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não poderá(ão) ceder ou transferir direitos que lhe(s) decorre(m) deste contrato sem a prévia e expressa anuência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quitação do preço descrito no Quadro Resumo.</w:t>
      </w:r>
    </w:p>
    <w:p w:rsidR="00000000" w:rsidDel="00000000" w:rsidP="00000000" w:rsidRDefault="00000000" w:rsidRPr="00000000" w14:paraId="0000005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sz w:val="24"/>
          <w:szCs w:val="24"/>
          <w:rtl w:val="0"/>
        </w:rPr>
        <w:t xml:space="preserve">: Durante a vigência do presente contrato de compromisso de compra e venda será vedado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firmar(em) com terceiro, contrato de locação, cessão, comodato, bem como dar o imóvel objeto do presente instrumento em garantia a terceiros, por qualquer causa e sob qualquer fundamento.</w:t>
      </w:r>
    </w:p>
    <w:p w:rsidR="00000000" w:rsidDel="00000000" w:rsidP="00000000" w:rsidRDefault="00000000" w:rsidRPr="00000000" w14:paraId="0000005F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O presente compromisso é válido contra terceiros e em caso de morte, obriga a herdeiros ou sucessores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e/ou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a cumprirem com o presente contrato.</w:t>
      </w:r>
    </w:p>
    <w:p w:rsidR="00000000" w:rsidDel="00000000" w:rsidP="00000000" w:rsidRDefault="00000000" w:rsidRPr="00000000" w14:paraId="00000061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QUARTO:</w:t>
      </w:r>
      <w:r w:rsidDel="00000000" w:rsidR="00000000" w:rsidRPr="00000000">
        <w:rPr>
          <w:sz w:val="24"/>
          <w:szCs w:val="24"/>
          <w:rtl w:val="0"/>
        </w:rPr>
        <w:t xml:space="preserve"> A compra e venda é feita em caráter AD CORPUS, tendo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examinado, no local, as medidas, e não dará a qualquer das partes o direito de pleitear diferenças em razão das metragens.</w:t>
      </w:r>
    </w:p>
    <w:p w:rsidR="00000000" w:rsidDel="00000000" w:rsidP="00000000" w:rsidRDefault="00000000" w:rsidRPr="00000000" w14:paraId="00000063">
      <w:pPr>
        <w:spacing w:after="0" w:line="240" w:lineRule="auto"/>
        <w:ind w:left="-426" w:firstLine="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QUINTO</w:t>
      </w:r>
      <w:r w:rsidDel="00000000" w:rsidR="00000000" w:rsidRPr="00000000">
        <w:rPr>
          <w:sz w:val="24"/>
          <w:szCs w:val="24"/>
          <w:rtl w:val="0"/>
        </w:rPr>
        <w:t xml:space="preserve">: Os casos omissos serão resolvidos pela legislação vigente do país.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PRIMEIRA - DA LEI GERAL DE PROTEÇÃO DE DADOS (LGPD) – Lei 13.709/2018:</w:t>
      </w:r>
    </w:p>
    <w:p w:rsidR="00000000" w:rsidDel="00000000" w:rsidP="00000000" w:rsidRDefault="00000000" w:rsidRPr="00000000" w14:paraId="00000067">
      <w:pP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atenção a </w:t>
      </w:r>
      <w:r w:rsidDel="00000000" w:rsidR="00000000" w:rsidRPr="00000000">
        <w:rPr>
          <w:b w:val="1"/>
          <w:sz w:val="24"/>
          <w:szCs w:val="24"/>
          <w:rtl w:val="0"/>
        </w:rPr>
        <w:t xml:space="preserve">Lei Geral de Proteção de Dados – LGPD (LEI Nº 13.709, DE 14 DE AGOSTO DE 2018)</w:t>
      </w:r>
      <w:r w:rsidDel="00000000" w:rsidR="00000000" w:rsidRPr="00000000">
        <w:rPr>
          <w:sz w:val="24"/>
          <w:szCs w:val="24"/>
          <w:rtl w:val="0"/>
        </w:rPr>
        <w:t xml:space="preserve">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se declara(m) ciente(s) e concorda(m) que os dados fornecidos pelo(s) mesmo(s) serão acessados, utilizados e tratados, eletrônica e manualmente, pela empresa intermediadora e seus prepostos, para elaboração dos documentos inerentes a compra e venda, e ainda, para emissão de boletos, comunicados regulares, alterações, avisos, notificações, interpelações, cobranças, reuniões, assembleias condominiais e afins, para com vistas atingir o objetivo finalístico da presente contratação. Assim, os dados permanecerão armazenados até o encerramento das obrigações contratuais.</w:t>
      </w:r>
    </w:p>
    <w:p w:rsidR="00000000" w:rsidDel="00000000" w:rsidP="00000000" w:rsidRDefault="00000000" w:rsidRPr="00000000" w14:paraId="00000069">
      <w:pPr>
        <w:spacing w:after="0" w:line="240" w:lineRule="auto"/>
        <w:ind w:left="-42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ÚNICO: </w:t>
      </w:r>
      <w:r w:rsidDel="00000000" w:rsidR="00000000" w:rsidRPr="00000000">
        <w:rPr>
          <w:sz w:val="24"/>
          <w:szCs w:val="24"/>
          <w:rtl w:val="0"/>
        </w:rPr>
        <w:t xml:space="preserve">Para os fins previstos nesta proposta, a empresa intermediadora poderá se utilizar de prestadores de serviços terceirizados, previamente contratados, aos quais informará os dados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 repassará os documentos exigíveis para o ato por meio digital e/ou físico, mediante termo de registro e responsabilidade, dando ciência que, ao final da prestação de serviço, os dados deverão ser inutilizados e/ou restituídos para esta empresa intermediadora, sob pena de responsabilidade, não podendo o prestador de serviço fazer a guarda dos dados.</w:t>
      </w:r>
    </w:p>
    <w:p w:rsidR="00000000" w:rsidDel="00000000" w:rsidP="00000000" w:rsidRDefault="00000000" w:rsidRPr="00000000" w14:paraId="0000006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SEGUNDA - DO FORO: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bookmarkStart w:colFirst="0" w:colLast="0" w:name="_dom949tyuw0u" w:id="1"/>
      <w:bookmarkEnd w:id="1"/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elegem como competente para discussão, litígio ou controvérsia do contrato de compra e venda, o foro da Comarca de Registro do Imóvel, com renúncia de qualquer outro por mais privilegiado que seja ou venha a ser.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bookmarkStart w:colFirst="0" w:colLast="0" w:name="_vjo51qb08my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bookmarkStart w:colFirst="0" w:colLast="0" w:name="_f55f7f1rmpev" w:id="3"/>
      <w:bookmarkEnd w:id="3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TERCEIRA - DA ASSINATURA: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poderá ser assinado eletronicamente mediante utilização (i) de processo de certificação disponibilizado pela Infraestrutura de Chaves Pública Brasileira – ICP-Brasil e produzirá todos os seus efeitos com relação aos signatários, conforme parágrafo 1° do artigo 10 da Medida Provisória n° 2.200-2, de 24 de agosto de 2001, ou (ii) de qualquer outro meio de comprovação da autoria e integridade de documentos em forma eletrônica (tais como mediante utilização dos aplicativos Docusign/Adobesign/Autentique), inclusive os que utilizem certificados não emitidos pela ICP-Brasil, o qual é admitido pelos signatários como válido, conforme parágrafo 2° do artigo 10 da Medida Provisória n° 2.200-2, de 24 de agosto de 2001.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por estarem as PARTES justas e contratadas, firmam o presente instrumento particular para que surta os efeitos legais para ultimação dos negócios jurídicos entabulados, os quais aceitam as partes como bom e valioso, sendo assinado pelas partes e duas testemunhas instrumentárias.</w:t>
      </w:r>
    </w:p>
    <w:p w:rsidR="00000000" w:rsidDel="00000000" w:rsidP="00000000" w:rsidRDefault="00000000" w:rsidRPr="00000000" w14:paraId="00000074">
      <w:pP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Cidade-estado, dia de mês de 2025</w:t>
      </w:r>
    </w:p>
    <w:p w:rsidR="00000000" w:rsidDel="00000000" w:rsidP="00000000" w:rsidRDefault="00000000" w:rsidRPr="00000000" w14:paraId="00000076">
      <w:pP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0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04"/>
        <w:gridCol w:w="4304"/>
        <w:tblGridChange w:id="0">
          <w:tblGrid>
            <w:gridCol w:w="4304"/>
            <w:gridCol w:w="4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426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ind w:left="-426" w:firstLine="0"/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426" w:firstLine="0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426" w:firstLine="0"/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560" w:right="127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5384800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5500" y="3559500"/>
                        <a:ext cx="440995" cy="440995"/>
                        <a:chOff x="5125500" y="3559500"/>
                        <a:chExt cx="441000" cy="441000"/>
                      </a:xfrm>
                    </wpg:grpSpPr>
                    <wpg:grpSp>
                      <wpg:cNvGrpSpPr/>
                      <wpg:grpSpPr>
                        <a:xfrm>
                          <a:off x="5125503" y="3559503"/>
                          <a:ext cx="440995" cy="440995"/>
                          <a:chOff x="5125500" y="3559500"/>
                          <a:chExt cx="441000" cy="44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25500" y="3559500"/>
                            <a:ext cx="441000" cy="4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25503" y="3559503"/>
                            <a:ext cx="440995" cy="440995"/>
                            <a:chOff x="5125500" y="3559500"/>
                            <a:chExt cx="441000" cy="441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125500" y="3559500"/>
                              <a:ext cx="441000" cy="4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25503" y="3559503"/>
                              <a:ext cx="440994" cy="440995"/>
                              <a:chOff x="0" y="0"/>
                              <a:chExt cx="440994" cy="44099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440975" cy="440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220497" cy="440995"/>
                              </a:xfrm>
                              <a:custGeom>
                                <a:rect b="b" l="l" r="r" t="t"/>
                                <a:pathLst>
                                  <a:path extrusionOk="0" h="440995" w="220497">
                                    <a:moveTo>
                                      <a:pt x="220497" y="0"/>
                                    </a:moveTo>
                                    <a:lnTo>
                                      <a:pt x="220497" y="67192"/>
                                    </a:lnTo>
                                    <a:lnTo>
                                      <a:pt x="216281" y="65443"/>
                                    </a:lnTo>
                                    <a:cubicBezTo>
                                      <a:pt x="212331" y="65443"/>
                                      <a:pt x="208788" y="67044"/>
                                      <a:pt x="206223" y="69609"/>
                                    </a:cubicBezTo>
                                    <a:lnTo>
                                      <a:pt x="177788" y="98044"/>
                                    </a:lnTo>
                                    <a:lnTo>
                                      <a:pt x="110186" y="165646"/>
                                    </a:lnTo>
                                    <a:lnTo>
                                      <a:pt x="92761" y="183071"/>
                                    </a:lnTo>
                                    <a:lnTo>
                                      <a:pt x="69609" y="206261"/>
                                    </a:lnTo>
                                    <a:lnTo>
                                      <a:pt x="140691" y="206261"/>
                                    </a:lnTo>
                                    <a:cubicBezTo>
                                      <a:pt x="143587" y="206261"/>
                                      <a:pt x="146380" y="205131"/>
                                      <a:pt x="148463" y="203112"/>
                                    </a:cubicBezTo>
                                    <a:lnTo>
                                      <a:pt x="211722" y="141719"/>
                                    </a:lnTo>
                                    <a:cubicBezTo>
                                      <a:pt x="212547" y="140919"/>
                                      <a:pt x="213830" y="141923"/>
                                      <a:pt x="213271" y="142914"/>
                                    </a:cubicBezTo>
                                    <a:lnTo>
                                      <a:pt x="177444" y="206261"/>
                                    </a:lnTo>
                                    <a:lnTo>
                                      <a:pt x="173127" y="213894"/>
                                    </a:lnTo>
                                    <a:cubicBezTo>
                                      <a:pt x="172009" y="215939"/>
                                      <a:pt x="171386" y="218288"/>
                                      <a:pt x="171386" y="220815"/>
                                    </a:cubicBezTo>
                                    <a:cubicBezTo>
                                      <a:pt x="171386" y="224308"/>
                                      <a:pt x="172606" y="227483"/>
                                      <a:pt x="174663" y="229972"/>
                                    </a:cubicBezTo>
                                    <a:lnTo>
                                      <a:pt x="174701" y="230048"/>
                                    </a:lnTo>
                                    <a:lnTo>
                                      <a:pt x="206490" y="261760"/>
                                    </a:lnTo>
                                    <a:cubicBezTo>
                                      <a:pt x="209055" y="264326"/>
                                      <a:pt x="212623" y="265926"/>
                                      <a:pt x="216574" y="265926"/>
                                    </a:cubicBezTo>
                                    <a:lnTo>
                                      <a:pt x="220497" y="265151"/>
                                    </a:lnTo>
                                    <a:lnTo>
                                      <a:pt x="220497" y="299693"/>
                                    </a:lnTo>
                                    <a:lnTo>
                                      <a:pt x="216048" y="301537"/>
                                    </a:lnTo>
                                    <a:cubicBezTo>
                                      <a:pt x="213189" y="301537"/>
                                      <a:pt x="210331" y="300444"/>
                                      <a:pt x="208153" y="298260"/>
                                    </a:cubicBezTo>
                                    <a:lnTo>
                                      <a:pt x="191745" y="281864"/>
                                    </a:lnTo>
                                    <a:lnTo>
                                      <a:pt x="173355" y="263513"/>
                                    </a:lnTo>
                                    <a:lnTo>
                                      <a:pt x="155270" y="245453"/>
                                    </a:lnTo>
                                    <a:lnTo>
                                      <a:pt x="147777" y="237999"/>
                                    </a:lnTo>
                                    <a:cubicBezTo>
                                      <a:pt x="145682" y="235903"/>
                                      <a:pt x="142849" y="234735"/>
                                      <a:pt x="139891" y="234735"/>
                                    </a:cubicBezTo>
                                    <a:lnTo>
                                      <a:pt x="69609" y="234735"/>
                                    </a:lnTo>
                                    <a:lnTo>
                                      <a:pt x="93205" y="258331"/>
                                    </a:lnTo>
                                    <a:lnTo>
                                      <a:pt x="128168" y="293332"/>
                                    </a:lnTo>
                                    <a:lnTo>
                                      <a:pt x="135903" y="301028"/>
                                    </a:lnTo>
                                    <a:lnTo>
                                      <a:pt x="143688" y="308852"/>
                                    </a:lnTo>
                                    <a:lnTo>
                                      <a:pt x="178562" y="343726"/>
                                    </a:lnTo>
                                    <a:lnTo>
                                      <a:pt x="206261" y="371387"/>
                                    </a:lnTo>
                                    <a:cubicBezTo>
                                      <a:pt x="208826" y="373952"/>
                                      <a:pt x="212408" y="375552"/>
                                      <a:pt x="216306" y="375552"/>
                                    </a:cubicBezTo>
                                    <a:lnTo>
                                      <a:pt x="220497" y="374059"/>
                                    </a:lnTo>
                                    <a:lnTo>
                                      <a:pt x="220497" y="440995"/>
                                    </a:lnTo>
                                    <a:cubicBezTo>
                                      <a:pt x="98730" y="440995"/>
                                      <a:pt x="0" y="342278"/>
                                      <a:pt x="0" y="220497"/>
                                    </a:cubicBezTo>
                                    <a:cubicBezTo>
                                      <a:pt x="0" y="98717"/>
                                      <a:pt x="98730" y="0"/>
                                      <a:pt x="22049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408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20497" y="223634"/>
                                <a:ext cx="75870" cy="76058"/>
                              </a:xfrm>
                              <a:custGeom>
                                <a:rect b="b" l="l" r="r" t="t"/>
                                <a:pathLst>
                                  <a:path extrusionOk="0" h="76058" w="75870">
                                    <a:moveTo>
                                      <a:pt x="73876" y="572"/>
                                    </a:moveTo>
                                    <a:cubicBezTo>
                                      <a:pt x="74879" y="0"/>
                                      <a:pt x="75870" y="1308"/>
                                      <a:pt x="75070" y="2121"/>
                                    </a:cubicBezTo>
                                    <a:lnTo>
                                      <a:pt x="12980" y="65075"/>
                                    </a:lnTo>
                                    <a:lnTo>
                                      <a:pt x="3455" y="74626"/>
                                    </a:lnTo>
                                    <a:lnTo>
                                      <a:pt x="0" y="76058"/>
                                    </a:lnTo>
                                    <a:lnTo>
                                      <a:pt x="0" y="41517"/>
                                    </a:lnTo>
                                    <a:lnTo>
                                      <a:pt x="1550" y="41211"/>
                                    </a:lnTo>
                                    <a:lnTo>
                                      <a:pt x="1625" y="41173"/>
                                    </a:lnTo>
                                    <a:lnTo>
                                      <a:pt x="4407" y="39574"/>
                                    </a:lnTo>
                                    <a:lnTo>
                                      <a:pt x="55118" y="11100"/>
                                    </a:lnTo>
                                    <a:lnTo>
                                      <a:pt x="73876" y="5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F408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220497" y="0"/>
                                <a:ext cx="220497" cy="440995"/>
                              </a:xfrm>
                              <a:custGeom>
                                <a:rect b="b" l="l" r="r" t="t"/>
                                <a:pathLst>
                                  <a:path extrusionOk="0" h="440995" w="220497">
                                    <a:moveTo>
                                      <a:pt x="0" y="0"/>
                                    </a:moveTo>
                                    <a:cubicBezTo>
                                      <a:pt x="121780" y="0"/>
                                      <a:pt x="220497" y="98717"/>
                                      <a:pt x="220497" y="220497"/>
                                    </a:cubicBezTo>
                                    <a:cubicBezTo>
                                      <a:pt x="220497" y="342278"/>
                                      <a:pt x="121780" y="440995"/>
                                      <a:pt x="0" y="440995"/>
                                    </a:cubicBezTo>
                                    <a:lnTo>
                                      <a:pt x="0" y="374059"/>
                                    </a:lnTo>
                                    <a:lnTo>
                                      <a:pt x="4902" y="372314"/>
                                    </a:lnTo>
                                    <a:lnTo>
                                      <a:pt x="33338" y="343878"/>
                                    </a:lnTo>
                                    <a:lnTo>
                                      <a:pt x="50762" y="326416"/>
                                    </a:lnTo>
                                    <a:lnTo>
                                      <a:pt x="50800" y="326416"/>
                                    </a:lnTo>
                                    <a:lnTo>
                                      <a:pt x="118211" y="259004"/>
                                    </a:lnTo>
                                    <a:lnTo>
                                      <a:pt x="147651" y="229566"/>
                                    </a:lnTo>
                                    <a:cubicBezTo>
                                      <a:pt x="147689" y="229527"/>
                                      <a:pt x="147727" y="229451"/>
                                      <a:pt x="147765" y="229413"/>
                                    </a:cubicBezTo>
                                    <a:cubicBezTo>
                                      <a:pt x="149695" y="226988"/>
                                      <a:pt x="150888" y="223863"/>
                                      <a:pt x="150888" y="220485"/>
                                    </a:cubicBezTo>
                                    <a:cubicBezTo>
                                      <a:pt x="150888" y="217056"/>
                                      <a:pt x="149657" y="213894"/>
                                      <a:pt x="147651" y="211430"/>
                                    </a:cubicBezTo>
                                    <a:lnTo>
                                      <a:pt x="129299" y="193078"/>
                                    </a:lnTo>
                                    <a:lnTo>
                                      <a:pt x="118834" y="182626"/>
                                    </a:lnTo>
                                    <a:lnTo>
                                      <a:pt x="98108" y="161887"/>
                                    </a:lnTo>
                                    <a:lnTo>
                                      <a:pt x="95428" y="159207"/>
                                    </a:lnTo>
                                    <a:cubicBezTo>
                                      <a:pt x="92367" y="156718"/>
                                      <a:pt x="88468" y="155258"/>
                                      <a:pt x="84227" y="155258"/>
                                    </a:cubicBezTo>
                                    <a:cubicBezTo>
                                      <a:pt x="80797" y="155258"/>
                                      <a:pt x="77559" y="156235"/>
                                      <a:pt x="74841" y="157938"/>
                                    </a:cubicBezTo>
                                    <a:lnTo>
                                      <a:pt x="72530" y="159652"/>
                                    </a:lnTo>
                                    <a:lnTo>
                                      <a:pt x="41821" y="182588"/>
                                    </a:lnTo>
                                    <a:lnTo>
                                      <a:pt x="15354" y="202209"/>
                                    </a:lnTo>
                                    <a:cubicBezTo>
                                      <a:pt x="14440" y="202883"/>
                                      <a:pt x="13284" y="201727"/>
                                      <a:pt x="13970" y="200826"/>
                                    </a:cubicBezTo>
                                    <a:lnTo>
                                      <a:pt x="33744" y="174511"/>
                                    </a:lnTo>
                                    <a:lnTo>
                                      <a:pt x="57010" y="143497"/>
                                    </a:lnTo>
                                    <a:lnTo>
                                      <a:pt x="58051" y="142126"/>
                                    </a:lnTo>
                                    <a:cubicBezTo>
                                      <a:pt x="59995" y="139256"/>
                                      <a:pt x="61100" y="135827"/>
                                      <a:pt x="61100" y="132144"/>
                                    </a:cubicBezTo>
                                    <a:cubicBezTo>
                                      <a:pt x="61100" y="127826"/>
                                      <a:pt x="59576" y="123889"/>
                                      <a:pt x="57010" y="120828"/>
                                    </a:cubicBezTo>
                                    <a:cubicBezTo>
                                      <a:pt x="56896" y="120676"/>
                                      <a:pt x="55004" y="118783"/>
                                      <a:pt x="55004" y="118783"/>
                                    </a:cubicBezTo>
                                    <a:cubicBezTo>
                                      <a:pt x="54890" y="118670"/>
                                      <a:pt x="5829" y="69609"/>
                                      <a:pt x="5829" y="69609"/>
                                    </a:cubicBezTo>
                                    <a:lnTo>
                                      <a:pt x="0" y="6719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F408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5384800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995" cy="440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-1076321</wp:posOffset>
          </wp:positionH>
          <wp:positionV relativeFrom="paragraph">
            <wp:posOffset>-457196</wp:posOffset>
          </wp:positionV>
          <wp:extent cx="7696200" cy="1325880"/>
          <wp:effectExtent b="0" l="0" r="0" t="0"/>
          <wp:wrapTopAndBottom distB="0" distT="0"/>
          <wp:docPr descr="Logotipo, nome da empresa&#10;&#10;O conteúdo gerado por IA pode estar incorreto." id="2" name="image1.png"/>
          <a:graphic>
            <a:graphicData uri="http://schemas.openxmlformats.org/drawingml/2006/picture">
              <pic:pic>
                <pic:nvPicPr>
                  <pic:cNvPr descr="Logotipo, nome da empresa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6200" cy="13258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