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0" w:line="360" w:lineRule="auto"/>
        <w:jc w:val="center"/>
        <w:rPr>
          <w:rFonts w:ascii="Calibri" w:cs="Calibri" w:eastAsia="Calibri" w:hAnsi="Calibri"/>
          <w:b w:val="1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8"/>
          <w:szCs w:val="28"/>
          <w:u w:val="single"/>
          <w:rtl w:val="0"/>
        </w:rPr>
        <w:t xml:space="preserve">PARECER JURÍDICO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Interessada: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{{ intermediadora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Assunto: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Análise de Pré-Contrato de Compra e Venda de Imóvel e Documentação Relacionada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Advogados: Leonardo Batista OAB/GO 23.188 e Gabriel Maciel OAB/GO 74.155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before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t xml:space="preserve">I – RELATÓRIO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113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4" w:right="134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 analise_tecnica }}</w:t>
      </w:r>
    </w:p>
    <w:sectPr>
      <w:headerReference r:id="rId6" w:type="default"/>
      <w:footerReference r:id="rId7" w:type="default"/>
      <w:pgSz w:h="16838" w:w="11906" w:orient="portrait"/>
      <w:pgMar w:bottom="1985" w:top="1701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-771521</wp:posOffset>
          </wp:positionH>
          <wp:positionV relativeFrom="paragraph">
            <wp:posOffset>-390520</wp:posOffset>
          </wp:positionV>
          <wp:extent cx="7223125" cy="78486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32058" l="0" r="0" t="0"/>
                  <a:stretch>
                    <a:fillRect/>
                  </a:stretch>
                </pic:blipFill>
                <pic:spPr>
                  <a:xfrm>
                    <a:off x="0" y="0"/>
                    <a:ext cx="7223125" cy="7848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1766569</wp:posOffset>
          </wp:positionH>
          <wp:positionV relativeFrom="paragraph">
            <wp:posOffset>-76196</wp:posOffset>
          </wp:positionV>
          <wp:extent cx="1866900" cy="442576"/>
          <wp:effectExtent b="0" l="0" r="0" t="0"/>
          <wp:wrapSquare wrapText="bothSides" distB="0" distT="0" distL="114300" distR="11430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66900" cy="442576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