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20" w:line="250" w:lineRule="auto"/>
        <w:jc w:val="center"/>
      </w:pPr>
      <w:r>
        <w:rPr>
          <w:rFonts w:ascii="Arial" w:hAnsi="Arial"/>
          <w:b/>
          <w:sz w:val="44"/>
        </w:rPr>
        <w:t>Detailed Requirements</w:t>
      </w:r>
    </w:p>
    <w:p>
      <w:pPr>
        <w:spacing w:before="0" w:after="240" w:line="250" w:lineRule="auto"/>
        <w:jc w:val="center"/>
      </w:pPr>
      <w:r>
        <w:rPr>
          <w:rFonts w:ascii="Arial" w:hAnsi="Arial"/>
          <w:b/>
          <w:sz w:val="30"/>
        </w:rPr>
        <w:t>Sangha and Education Data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Purpose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Functional requirements and traceability baseline for coverage review.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Document status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Proposal — detailed design baseline for owner review.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Data boundary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Confirmed — synthetic, fictional, non-identifying data only.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Architecture alignment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Confirmed — Next.js App Router, TypeScript, Prisma/PostgreSQL, Auth.js, server actions and protected API routes; no conflicting components.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Verification method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Coverage of Requirement to UI to API to Table to Test mapping; this document reports design coverage only, not product test results.</w:t>
            </w:r>
          </w:p>
        </w:tc>
      </w:tr>
    </w:tbl>
    <w:p>
      <w:pPr>
        <w:spacing w:after="20"/>
      </w:pPr>
    </w:p>
    <w:p>
      <w:pPr>
        <w:spacing w:before="0" w:after="80" w:line="250" w:lineRule="auto"/>
      </w:pPr>
      <w:r>
        <w:rPr>
          <w:rFonts w:ascii="Arial" w:hAnsi="Arial"/>
          <w:b w:val="0"/>
          <w:sz w:val="20"/>
        </w:rPr>
        <w:t>This document elaborates the functions approved in the Project Charter. “Table” identifies a proposed logical data table, not a completed database migration. “Test” identifies a planned test case, not a test that has been run.</w:t>
      </w: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Confirmed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Requirement or constraint established by the work request, Project Charter, or approved architecture.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Proposal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Detailed behaviour, schema, workflow, metric, or test design that requires owner confirmation.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Needs Legal Review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Real-data use, disclosure, retention, or official-status issue outside this synthetic-data scope.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Requirement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Convention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Application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Authorization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Every protected action invokes server-side authorization and scope filtering. Client roles, URL values, and UI visibility do not grant permission.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History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Every correction creates a new event or version. Business history and audit events are never overwritten by normal operations.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Failure recovery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 business write and its history/audit record commit atomically or roll back together. Corrective actions append new evidence.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Synthetic-only control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All inputs must be marked synthetic. A suspected real-data import is stopped, quarantined, and escalated; it is not processed.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Coverage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7"/>
              </w:rPr>
              <w:t>Each functional requirement receives one traceability row with UI, API/service, proposed table(s), and planned tests.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1 Detailed Functional Requirements</w:t>
      </w: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FR-ORG-01 Maintain synthetic organisation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 Directory Manager; Data Steward.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organisation code, display name, type, parent organisation, and lifecycle reason.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 on the server, validate the parent relationship, create the organisation version, then append an AuditLog event.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New synthetic organisation record with current lifecycle state and immutable history reference.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organisation.create within the actor scope; deny by default.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Code is unique; name is required; parent cannot create a cycle; record is marked synthetic.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Duplicate code or invalid parent: no commit; return field error. Transaction failure: roll back business record and audit event; retry with idempotency key.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Authorised actor can create one valid synthetic organisation; unauthorised actor receives deny response and no data or audit mutation occurs.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 ID, role, request ID, timestamp, action=ORGANISATION_CREATED, input summary, resulting record ID, reason.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FR-ORG-02 Change organisation lifecycle status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 Directory Manager; Product Owner for configured approval cases.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Organisation ID, requested status, reason, optional effective date.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Authorise, confirm the organisation is synthetic, create an OrganisationStatusEvent, update the current projection in the same transaction, then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Current status projection and linked, append-only status event.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organisation.status.change within scope; client status values are never trusted.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Status must exist in owner-approved master data; reason required; effective date cannot precede the record creation date.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Unknown status or missing reason: reject without write. Incorrect completed change: create corrective status event; never alter the old event.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valid change exposes current status and prior status event; a corrective change leaves both historical events readable.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prior status, requested status, reason, effective date, request ID, status-event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FR-DIR-01 Maintain education leadership appointment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 Directory Manager.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person reference, role taxonomy code, organisation, start date, optional end date, appointment reason.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Authorise, validate role taxonomy and dates, create a LeadershipAppointment version, and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appointment in the directory, linked to its organisation and term.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directory.appointment.write and scope access to the organisation.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Only synthetic person references; required role and organisation; end date is not before start date; overlapping appointments follow owner-approved rule.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Out-of-scope actor or invalid date: no write. Overlap conflict: return conflict details without exposing data outside scope.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Authorised actor creates valid appointment and can view its history; external-scope actor cannot read or create it.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role, organisation, synthetic person reference, term values, reason, request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FR-SEC-01 Maintain secretary assignment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Proposal — </w:t>
      </w:r>
      <w:r>
        <w:rPr>
          <w:rFonts w:ascii="Arial" w:hAnsi="Arial"/>
          <w:b w:val="0"/>
          <w:sz w:val="20"/>
        </w:rPr>
        <w:t>Overall requirement status: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 Directory Manager.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secretary reference, target role or organisation, effective start/end dates, reason.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Authorise, validate one permitted target relationship, create SecretaryAssignment, and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Current assignment and assignment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directory.secretary.write and target scope.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Exactly one target type is required unless Owner approves dual-link behaviour; dates must be valid; synthetic reference only.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Missing or ambiguous target: reject. Correction: add superseding assignment or corrective event; do not overwrite original assignment.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 assignment is searchable by target; invalid dual-link rule is rejected until Owner confirms it.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synthetic secretary reference, target type and ID, dates, reason, request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FR-INS-01 Maintain institution leadership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 Directory Manager.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institution ID, synthetic head or principal reference, position label, term dates, reason.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Authorise, verify organisation type is eligible in configured master data, create InstitutionLeadershipAssignment,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Current institution leadership projection and term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institution.leadership.write within organisation scope.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Institution must be synthetic; position label is a configured neutral prototype term; dates are chronological.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Ineligible organisation or invalid term: reject without commit. Transaction fault: roll back and retry safely.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Authorised actor can record and correct a synthetic assignment without losing earlier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institution ID, synthetic head reference, role label, dates, reason, request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FR-CENT-01 Maintain synthetic exam centre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Exam Operations Officer; Data Steward.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centre code, name, linked organisation, stated capacity, status, reason.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Authorise, validate code and capacity, create ExamCentre plus initial status event atomically,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exam-centre record with current status and event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examcentre.write within configured scope.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Code unique; capacity is non-negative integer; linked organisation exists and is synthetic; status is configured.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Duplicate code, invalid capacity, or missing parent: reject. Wrong status: create corrective event; never rewrite prior event.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 centre can be created with traceable status. A denied request leaves no centre or status event.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centre code, organisation ID, capacity, status, reason, request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FR-APP-01 Create synthetic learner exam application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Applicant Services Officer acting in synthetic test workflow; synthetic Applicant Portal session.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applicant reference, programme or exam selection, selected synthetic centre, declaration flag.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 on server, validate synthetic marker and referenced records, create Application in draft or submitted state, append ApplicationStatusEvent and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application identifier, current status, and status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application.create; self-service scope may only act on its own synthetic applicant reference.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All references are synthetic; required selection exists; selected centre is active in configured mock data; no duplicate active application under configured rule.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Invalid reference or duplicate: no commit and show safe field error. Service interruption: roll back both application and status event; allow idempotent retry.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Authorised workflow creates one traceable synthetic application. Real-data marker or unauthorised request is denied with no mutation.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synthetic applicant reference, programme/exam reference, centre ID, status, request ID; no real personal data.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FR-APP-02 Review synthetic application and change status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Exam Operations Officer; authorised Product Owner reviewer.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Application ID, requested status, review reason, optional reviewer note.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Authorise, load application through scope filter, validate transition against configured lifecycle, create ApplicationStatusEvent, update current projection atomically,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New current status plus immutable chronological status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application.review and application.status.change within scope.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Transition must be configured; reason is mandatory; requester cannot approve if separation-of-duty rule is enabled by Owner.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Invalid transition or missing reason: reject. Incorrect decision: append corrective event; do not overwrite older status or audit data.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Allowed transition produces one event; denied transition produces none. History shows prior and corrective states in order.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prior/new state, decision reason, optional note classification, request ID, status-event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FR-IMP-01 Import synthetic data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Proposal — </w:t>
      </w:r>
      <w:r>
        <w:rPr>
          <w:rFonts w:ascii="Arial" w:hAnsi="Arial"/>
          <w:b w:val="0"/>
          <w:sz w:val="20"/>
        </w:rPr>
        <w:t>Overall requirement status: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Data Steward; System Administrator for operational recovery only.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Approved import template containing synthetic rows and explicit synthetic-data marker.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Create ImportJob only through authorised server endpoint; parse in protected service; validate all rows; commit approved records and audit events transactionally or retain error report with no partial business commit.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ImportJob status, accepted-row count, rejected-row details, linked created record IDs when committed.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import.create; file storage is private and metadata only is stored in database.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Marker required; file size/type rules configured by Owner; duplicate codes, invalid references, and non-synthetic markers fail validation.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Row validation failure: record ImportRowError and do not commit invalid rows. Wrong real-data import: stop, quarantine file and job, notify Owner, await legal/compliance direction.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 all-synthetic import produces a completed job and audit evidence. Invalid template produces error report without partial commit unless Owner approves a documented partial-import rule.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file metadata only, template version, job ID, row counts, validation summary, request ID.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FR-AUD-01 View append only history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Overall requirement status: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Product Owner, Security Reviewer, System Administrator, scoped data manager.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Entity type, entity ID, optional date range.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 on server, apply scope filter, query immutable AuditLog and entity event history, return ordered records with redaction policy applied.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Chronological history showing actor role, timestamp, action, reason, before/after summary, and request ID where permitted.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audit.read; scope filter is mandatory. No client-provided role or scope may grant access.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Entity type is allow-listed; date range bounded; audit record is never editable through this function.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Out-of-scope or forbidden: return non-enumerating deny response. Query failure: log operational error without sensitive payload and retry after service recovery.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Authorised reviewer sees a correction as a new event; user without scope cannot infer that another record exists.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Audit-read event captures actor, query type, entity type, scope decision, request ID; does not mutate viewed history.</w:t>
            </w:r>
          </w:p>
        </w:tc>
      </w:tr>
    </w:tbl>
    <w:p>
      <w:pPr>
        <w:spacing w:after="20"/>
      </w:pPr>
    </w:p>
    <w:p>
      <w:pPr>
        <w:pStyle w:val="Heading2"/>
        <w:spacing w:before="140" w:after="80" w:line="250" w:lineRule="auto"/>
      </w:pPr>
      <w:r>
        <w:rPr>
          <w:rFonts w:ascii="Arial" w:hAnsi="Arial"/>
          <w:b/>
          <w:sz w:val="22"/>
        </w:rPr>
        <w:t>FR-ACC-01 Manage access roles and scope assignments</w:t>
      </w:r>
    </w:p>
    <w:p>
      <w:pPr>
        <w:spacing w:before="0" w:after="80" w:line="250" w:lineRule="auto"/>
      </w:pPr>
      <w:r>
        <w:rPr>
          <w:rFonts w:ascii="Arial" w:hAnsi="Arial"/>
          <w:b/>
          <w:sz w:val="20"/>
        </w:rPr>
        <w:t xml:space="preserve">Proposal — </w:t>
      </w:r>
      <w:r>
        <w:rPr>
          <w:rFonts w:ascii="Arial" w:hAnsi="Arial"/>
          <w:b w:val="0"/>
          <w:sz w:val="20"/>
        </w:rPr>
        <w:t>Overall requirement status: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Detailed requirement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System Administrator; Product Owner approval for policy changes.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User account identifier, role code, scope reference, effective dates, change reason.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Process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Authorise at highest administrative policy, validate configured role and scope, create RoleAssignment version, invalidate affected sessions as configured, append AuditLog.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Output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Current access assignment and immutable access-change history.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Permission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 policy requires access.manage and explicit administrative scope; roles are resolved on server for each sensitive operation.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Role and scope must be configured; no self-escalation; effective dates valid; no role data accepted from client as authority.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Error state and recovery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Invalid role, scope, or self-escalation: reject. Accidental change: create corrective assignment and revoke affected session; preserve prior event.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Acceptance criteria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New role assignment affects an authorised server request only after policy reload. Client-only role manipulation cannot elevate access.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83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Actor, affected account ID, old/new role and scope, reason, effective dates, session invalidation outcome, request ID.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2 Cross Cutting Failure Modes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Failure mode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Detection and containment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Recovery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Server authorization dependency unavailable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Protected operation fails closed; no privileged fallback to client state.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Return safe unavailable response, preserve no partial write, alert operator, restore service, then retry with request idempotency.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Audit or history write cannot be completed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Transaction boundary detects failure before commit.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Roll back related business mutation; inspect error; retry after service recovery.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Incorrect approved status change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Audit trail and status event show conflict.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Append corrective status event and reason; never edit old event.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 import may contain real data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Synthetic-data marker check, isolation, and import validation flag condition.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Stop job, quarantine file/job metadata, notify owner; await legal/compliance direction.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Role scope changes during session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Sensitive server action reloads policy and scope source.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Invalidate affected session if configured; reauthorise next action and inspect audit history.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3 Traceability Requirement UI API Table Test</w:t>
      </w:r>
    </w:p>
    <w:p>
      <w:pPr>
        <w:spacing w:before="0" w:after="80" w:line="250" w:lineRule="auto"/>
      </w:pPr>
      <w:r>
        <w:rPr>
          <w:rFonts w:ascii="Arial" w:hAnsi="Arial"/>
          <w:b w:val="0"/>
          <w:sz w:val="20"/>
        </w:rPr>
        <w:t>All logical table names and test IDs below are proposals. Their purpose is to expose coverage gaps before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UI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API or service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Proposed table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Planned test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FR-ORG-01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Organisations Create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server/actions/organisation.create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Organisation;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TC-ORG-01 allow; TC-ORG-02 duplicate; TC-ORG-03 deny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FR-ORG-02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Organisations Status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server/actions/organisation.changeStatus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OrganisationStatusEvent;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TC-ORG-04 transition; TC-ORG-05 corrective event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FR-DIR-01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Directory Appointments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server/actions/appointment.create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LeadershipAppointment;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TC-DIR-01 date; TC-DIR-02 scope deny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FR-SEC-01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Directory Secretaries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server/actions/secretary.assign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SecretaryAssignment;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TC-SEC-01 target rule; TC-SEC-02 correction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FR-INS-01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Institutions Leadership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server/actions/institutionLeadership.create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InstitutionLeadershipAssignment;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TC-INS-01 valid; TC-INS-02 invalid institution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FR-CENT-01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Exam Centres Create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server/actions/examCentre.create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ExamCentre; ExamCentreStatusEvent;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TC-CEN-01 allow; TC-CEN-02 capacity; TC-CEN-03 deny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FR-APP-01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Portal Application Create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server/actions/application.create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Application; ApplicationStatusEvent;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TC-APP-01 submit; TC-APP-02 duplicate; TC-APP-03 real marker deny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FR-APP-02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Applications Review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server/actions/application.changeStatus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ApplicationStatusEvent;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TC-APP-04 transition; TC-APP-05 corrective event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FR-IMP-01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Imports New Job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POST /api/imports; server/services/import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ImportJob; ImportRowError;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TC-IMP-01 valid; TC-IMP-02 row error; TC-IMP-03 quarantine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FR-AUD-01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Audit History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server/actions/audit.list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AuditLog; entity event tables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TC-AUD-01 scope allow; TC-AUD-02 non-enumerating deny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FR-ACC-01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 Access Assignments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server/actions/access.assignRole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RoleAssignment; AuditLog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TC-ACC-01 policy reload; TC-ACC-02 self-escalation deny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4 Coverage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Coverage check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Functional requirements documented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11 of 11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Each scoped function has Actor, Input, Process, Output, Permission, Validation, Error state and recovery, Acceptance criteria, and Audit.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Traceability rows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11 of 11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Every detailed requirement appears once in Requirement to UI to API to Table to Test mapping.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Security constraints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11 of 11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Each requirement specifies server-side permission; history behaviour is explicit for every mutable workflow.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Failure and recovery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11 of 11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Each requirement contains an error state and recovery approach; cross-cutting scenarios are separately listed.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Product tests completed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0 of planned test IDs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 product test is claimed as run. Test IDs are execution-ready placeholders for later implementation evidence.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5 Assumptions and Open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or assumption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 needed from owner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Leadership taxonomy and allowed appointment overlap rule are configurable master data.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Confirm hierarchy, overlap policy, and approval owner.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Secretary may link to one target role or organisation by default.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Confirm whether dual-link assignments are allowed and their effective-date rule.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Applicant lifecycle begins draft, submitted, under review, approved, and not approved with no official effect.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Confirm transitions, separation-of-duty, and who may correct a decision.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Logical table names are design placeholders.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Approve Prisma schema names, unique constraints, and database indexes during data-model review.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Needs Legal Review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of any real personal data, public directory disclosure, retention period, user notice, or official status value.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2" w:type="dxa"/>
              <w:start w:w="92" w:type="dxa"/>
              <w:bottom w:w="92" w:type="dxa"/>
              <w:end w:w="92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Provide authorised legal/compliance review before any scope change from synthetic data.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6 Owner Coverage Checklist</w:t>
      </w:r>
    </w:p>
    <w:p>
      <w:pPr>
        <w:pStyle w:val="ListBullet"/>
        <w:spacing w:before="0" w:after="40" w:line="250" w:lineRule="auto"/>
      </w:pPr>
      <w:r>
        <w:rPr>
          <w:rFonts w:ascii="Arial" w:hAnsi="Arial"/>
          <w:b w:val="0"/>
          <w:sz w:val="19"/>
        </w:rPr>
        <w:t>☐ Confirm that all 11 functional requirements are in the delivery scope and priority order.</w:t>
      </w:r>
    </w:p>
    <w:p>
      <w:pPr>
        <w:pStyle w:val="ListBullet"/>
        <w:spacing w:before="0" w:after="40" w:line="250" w:lineRule="auto"/>
      </w:pPr>
      <w:r>
        <w:rPr>
          <w:rFonts w:ascii="Arial" w:hAnsi="Arial"/>
          <w:b w:val="0"/>
          <w:sz w:val="19"/>
        </w:rPr>
        <w:t>☐ Confirm proposed role taxonomy, secretary relationship, and applicant lifecycle rules.</w:t>
      </w:r>
    </w:p>
    <w:p>
      <w:pPr>
        <w:pStyle w:val="ListBullet"/>
        <w:spacing w:before="0" w:after="40" w:line="250" w:lineRule="auto"/>
      </w:pPr>
      <w:r>
        <w:rPr>
          <w:rFonts w:ascii="Arial" w:hAnsi="Arial"/>
          <w:b w:val="0"/>
          <w:sz w:val="19"/>
        </w:rPr>
        <w:t>☐ Confirm the planned UI routes, server action or API names, and logical table boundaries.</w:t>
      </w:r>
    </w:p>
    <w:p>
      <w:pPr>
        <w:pStyle w:val="ListBullet"/>
        <w:spacing w:before="0" w:after="40" w:line="250" w:lineRule="auto"/>
      </w:pPr>
      <w:r>
        <w:rPr>
          <w:rFonts w:ascii="Arial" w:hAnsi="Arial"/>
          <w:b w:val="0"/>
          <w:sz w:val="19"/>
        </w:rPr>
        <w:t>☐ Confirm planned test ownership and required evidence for each Test ID.</w:t>
      </w:r>
    </w:p>
    <w:p>
      <w:pPr>
        <w:pStyle w:val="ListBullet"/>
        <w:spacing w:before="0" w:after="40" w:line="250" w:lineRule="auto"/>
      </w:pPr>
      <w:r>
        <w:rPr>
          <w:rFonts w:ascii="Arial" w:hAnsi="Arial"/>
          <w:b w:val="0"/>
          <w:sz w:val="19"/>
        </w:rPr>
        <w:t>☐ Approve or revise the import all-or-nothing rule before implementation.</w:t>
      </w:r>
    </w:p>
    <w:p>
      <w:pPr>
        <w:pStyle w:val="ListBullet"/>
        <w:spacing w:before="0" w:after="40" w:line="250" w:lineRule="auto"/>
      </w:pPr>
      <w:r>
        <w:rPr>
          <w:rFonts w:ascii="Arial" w:hAnsi="Arial"/>
          <w:b w:val="0"/>
          <w:sz w:val="19"/>
        </w:rPr>
        <w:t>☐ Route every Needs Legal Review item before real-data use, public disclosure, or official-status representation.</w:t>
      </w:r>
    </w:p>
    <w:p>
      <w:pPr>
        <w:pStyle w:val="Heading1"/>
        <w:spacing w:before="200" w:after="80" w:line="250" w:lineRule="auto"/>
      </w:pPr>
      <w:r>
        <w:rPr>
          <w:rFonts w:ascii="Arial" w:hAnsi="Arial"/>
          <w:b/>
          <w:sz w:val="26"/>
        </w:rPr>
        <w:t>Verification Note</w:t>
      </w:r>
    </w:p>
    <w:p>
      <w:pPr>
        <w:spacing w:before="0" w:after="80" w:line="250" w:lineRule="auto"/>
      </w:pPr>
      <w:r>
        <w:rPr>
          <w:rFonts w:ascii="Arial" w:hAnsi="Arial"/>
          <w:b w:val="0"/>
          <w:sz w:val="20"/>
        </w:rPr>
        <w:t>Coverage was checked for document completeness only. This document does not claim any endpoint, database migration, import, authorization policy, recovery runbook, or automated test has been executed.</w:t>
      </w:r>
    </w:p>
    <w:sectPr w:rsidR="00FC693F" w:rsidRPr="0006063C" w:rsidSect="00034616"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50" w:lineRule="auto"/>
      <w:jc w:val="center"/>
    </w:pPr>
    <w:r>
      <w:rPr>
        <w:rFonts w:ascii="Arial" w:hAnsi="Arial"/>
        <w:b w:val="0"/>
        <w:color w:val="666666"/>
        <w:sz w:val="16"/>
      </w:rPr>
      <w:t>Detailed Requirements  |  Sangha and Education Data Platform  |  Coverage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