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 / CI Operating Model</w:t>
      </w:r>
    </w:p>
    <w:p>
      <w:pPr>
        <w:jc w:val="center"/>
      </w:pPr>
      <w:r>
        <w:rPr>
          <w:color w:val="2F75B5"/>
          <w:sz w:val="26"/>
        </w:rPr>
        <w:t>Sangha and Education Data Platform — synthetic data only</w:t>
      </w:r>
    </w:p>
    <w:p>
      <w:pPr>
        <w:spacing w:after="60" w:line="252" w:lineRule="auto"/>
      </w:pPr>
      <w:r>
        <w:rPr>
          <w:sz w:val="18"/>
        </w:rPr>
        <w:t>Operating specification for repository structure, environment separation, secret controls, CI gates, and README runbook.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2F0D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Confirmed</w:t>
              <w:br/>
              <w:t>/</w:t>
            </w:r>
          </w:p>
        </w:tc>
        <w:tc>
          <w:tcPr>
            <w:tcW w:type="dxa" w:w="5083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FFF2CC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Proposal owner</w:t>
            </w:r>
          </w:p>
        </w:tc>
        <w:tc>
          <w:tcPr>
            <w:tcW w:type="dxa" w:w="5083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FCE4D6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Needs Legal Review DPO/</w:t>
            </w:r>
          </w:p>
        </w:tc>
      </w:tr>
    </w:tbl>
    <w:p>
      <w:pPr>
        <w:pStyle w:val="Heading1"/>
        <w:spacing w:before="160" w:after="80"/>
      </w:pPr>
      <w:r>
        <w:rPr>
          <w:color w:val="1F4269"/>
        </w:rPr>
        <w:t>Scope and risk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201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310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Confirmed</w:t>
            </w:r>
          </w:p>
        </w:tc>
        <w:tc>
          <w:tcPr>
            <w:tcW w:type="dxa" w:w="1310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modular monolith: Next.js App Router + TypeScript, PostgreSQL/Prisma, Auth, object storage, queue, CDN/WAF.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Confirmed</w:t>
            </w:r>
          </w:p>
        </w:tc>
        <w:tc>
          <w:tcPr>
            <w:tcW w:type="dxa" w:w="1310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server deny-by-default; UI security boundary.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Confirmed</w:t>
            </w:r>
          </w:p>
        </w:tc>
        <w:tc>
          <w:tcPr>
            <w:tcW w:type="dxa" w:w="1310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Status audit append-only; event overwrite.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Confirmed</w:t>
            </w:r>
          </w:p>
        </w:tc>
        <w:tc>
          <w:tcPr>
            <w:tcW w:type="dxa" w:w="1310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local/test/staging database/bucket/queue/credentials production.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Proposal</w:t>
            </w:r>
          </w:p>
        </w:tc>
        <w:tc>
          <w:tcPr>
            <w:tcW w:type="dxa" w:w="1310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protected main branch required CI checks merge; provider owner 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Needs Legal Review</w:t>
            </w:r>
          </w:p>
        </w:tc>
        <w:tc>
          <w:tcPr>
            <w:tcW w:type="dxa" w:w="1310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Allowed production , retention public projection DPO/ evidence .</w:t>
            </w:r>
          </w:p>
        </w:tc>
      </w:tr>
    </w:tbl>
    <w:p>
      <w:pPr>
        <w:spacing w:after="60" w:line="252" w:lineRule="auto"/>
      </w:pPr>
      <w:r>
        <w:rPr>
          <w:sz w:val="18"/>
        </w:rPr>
        <w:t>: “CI green” required job CI owner CI green.</w:t>
      </w:r>
    </w:p>
    <w:p>
      <w:r>
        <w:br w:type="page"/>
      </w:r>
    </w:p>
    <w:p>
      <w:pPr>
        <w:pStyle w:val="Heading1"/>
        <w:spacing w:before="160" w:after="80"/>
      </w:pPr>
      <w:r>
        <w:rPr>
          <w:color w:val="1F4269"/>
        </w:rPr>
        <w:t>1. Repository structure</w:t>
      </w:r>
    </w:p>
    <w:p>
      <w:pPr>
        <w:spacing w:after="60" w:line="252" w:lineRule="auto"/>
      </w:pPr>
      <w:r>
        <w:rPr>
          <w:sz w:val="18"/>
        </w:rPr>
        <w:t>business rules, authorization, migrations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43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(Confirmed baseline)</w:t>
            </w:r>
          </w:p>
        </w:tc>
        <w:tc>
          <w:tcPr>
            <w:tcW w:type="dxa" w:w="108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Responsibility and boundary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apps/web</w:t>
            </w:r>
          </w:p>
        </w:tc>
        <w:tc>
          <w:tcPr>
            <w:tcW w:type="dxa" w:w="108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Next.js App Router: public projection private UI; secret server authorization logic client.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packages/core</w:t>
            </w:r>
          </w:p>
        </w:tc>
        <w:tc>
          <w:tcPr>
            <w:tcW w:type="dxa" w:w="108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domain rules, event contracts, validation policy interfaces 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packages/db</w:t>
            </w:r>
          </w:p>
        </w:tc>
        <w:tc>
          <w:tcPr>
            <w:tcW w:type="dxa" w:w="108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Prisma schema, SQL migrations constraint/index Prisma , synthetic seed transaction helpers.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packages/auth</w:t>
            </w:r>
          </w:p>
        </w:tc>
        <w:tc>
          <w:tcPr>
            <w:tcW w:type="dxa" w:w="108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Auth.js integration, server guard, role/action/scope resolution; deny-by-default.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packages/jobs</w:t>
            </w:r>
          </w:p>
        </w:tc>
        <w:tc>
          <w:tcPr>
            <w:tcW w:type="dxa" w:w="108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queue workers, outbox dispatch, retry/idempotency dead-letter handling.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packages/storage</w:t>
            </w:r>
          </w:p>
        </w:tc>
        <w:tc>
          <w:tcPr>
            <w:tcW w:type="dxa" w:w="108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private object-storage adapter; pre-signed access server authorization.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packages/notifications</w:t>
            </w:r>
          </w:p>
        </w:tc>
        <w:tc>
          <w:tcPr>
            <w:tcW w:type="dxa" w:w="108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notification adapters event outbox 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packages/observability</w:t>
            </w:r>
          </w:p>
        </w:tc>
        <w:tc>
          <w:tcPr>
            <w:tcW w:type="dxa" w:w="108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structured logs, metrics, traces, redaction audit correlation.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packages/config</w:t>
            </w:r>
          </w:p>
        </w:tc>
        <w:tc>
          <w:tcPr>
            <w:tcW w:type="dxa" w:w="108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typed non-secret configuration, environment validation feature flags.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tests/{unit,integration,permission,e2e,load}</w:t>
            </w:r>
          </w:p>
        </w:tc>
        <w:tc>
          <w:tcPr>
            <w:tcW w:type="dxa" w:w="108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tests ; fixture ; permission tests cross-scope=403.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.github/workflows</w:t>
            </w:r>
          </w:p>
        </w:tc>
        <w:tc>
          <w:tcPr>
            <w:tcW w:type="dxa" w:w="108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CI definitions reusable workflow; Prohibited secrets literal production credentials.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docs/runbooks, README.md, .env.example, AGENTS.md</w:t>
            </w:r>
          </w:p>
        </w:tc>
        <w:tc>
          <w:tcPr>
            <w:tcW w:type="dxa" w:w="108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run/recovery, onboarding, secret .</w:t>
            </w:r>
          </w:p>
        </w:tc>
      </w:tr>
    </w:tbl>
    <w:p>
      <w:pPr>
        <w:pStyle w:val="Heading2"/>
        <w:spacing w:before="160" w:after="80"/>
      </w:pPr>
      <w:r>
        <w:rPr>
          <w:color w:val="1F4269"/>
        </w:rPr>
        <w:t>Repository storage rules</w:t>
      </w:r>
    </w:p>
    <w:p>
      <w:pPr>
        <w:pStyle w:val="ListBullet"/>
        <w:spacing w:after="20"/>
      </w:pPr>
      <w:r>
        <w:rPr>
          <w:sz w:val="17"/>
        </w:rPr>
        <w:t>migration files, Prisma schema, lockfile, policy contracts test fixtures version control.</w:t>
      </w:r>
    </w:p>
    <w:p>
      <w:pPr>
        <w:pStyle w:val="ListBullet"/>
        <w:spacing w:after="20"/>
      </w:pPr>
      <w:r>
        <w:rPr>
          <w:sz w:val="17"/>
        </w:rPr>
        <w:t>Prohibited commit: `.env*` , key/certificate, database dump, object bytes, CI tokens, logs .</w:t>
      </w:r>
    </w:p>
    <w:p>
      <w:pPr>
        <w:pStyle w:val="ListBullet"/>
        <w:spacing w:after="20"/>
      </w:pPr>
      <w:r>
        <w:rPr>
          <w:sz w:val="17"/>
        </w:rPr>
        <w:t>Prohibited `NEXT_PUBLIC_*` secret; public non-secret configuration .</w:t>
      </w:r>
    </w:p>
    <w:p>
      <w:r>
        <w:br w:type="page"/>
      </w:r>
    </w:p>
    <w:p>
      <w:pPr>
        <w:pStyle w:val="Heading1"/>
        <w:spacing w:before="160" w:after="80"/>
      </w:pPr>
      <w:r>
        <w:rPr>
          <w:color w:val="1F4269"/>
        </w:rPr>
        <w:t>2. Branch, review and change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165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741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60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/ Recovery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Proposal</w:t>
            </w:r>
          </w:p>
        </w:tc>
        <w:tc>
          <w:tcPr>
            <w:tcW w:type="dxa" w:w="741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`main` protected integration branch; merge pull request required checks review owner policy.</w:t>
            </w:r>
          </w:p>
        </w:tc>
        <w:tc>
          <w:tcPr>
            <w:tcW w:type="dxa" w:w="60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direct write; release revert commit/feature flag incident record— rewrite history.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Proposal</w:t>
            </w:r>
          </w:p>
        </w:tc>
        <w:tc>
          <w:tcPr>
            <w:tcW w:type="dxa" w:w="741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`feature/&lt;work-id&gt;-&lt;short-name&gt;`, `fix/&lt;work-id&gt;-&lt;short-name&gt;`, `chore/&lt;short-name&gt;`; branch merge commit history.</w:t>
            </w:r>
          </w:p>
        </w:tc>
        <w:tc>
          <w:tcPr>
            <w:tcW w:type="dxa" w:w="60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ticket; / ticket 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Proposal</w:t>
            </w:r>
          </w:p>
        </w:tc>
        <w:tc>
          <w:tcPr>
            <w:tcW w:type="dxa" w:w="741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schema, API contract, policy business rule migration/contract/permission test PR .</w:t>
            </w:r>
          </w:p>
        </w:tc>
        <w:tc>
          <w:tcPr>
            <w:tcW w:type="dxa" w:w="60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deploy app data model ; failed check merge.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Proposal</w:t>
            </w:r>
          </w:p>
        </w:tc>
        <w:tc>
          <w:tcPr>
            <w:tcW w:type="dxa" w:w="741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production deployment approval migration credential runtime.</w:t>
            </w:r>
          </w:p>
        </w:tc>
        <w:tc>
          <w:tcPr>
            <w:tcW w:type="dxa" w:w="60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maker-checker escalation; deployment rollback app data recovery 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Confirmed</w:t>
            </w:r>
          </w:p>
        </w:tc>
        <w:tc>
          <w:tcPr>
            <w:tcW w:type="dxa" w:w="741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protected data business event + audit + outbox transaction ; failure rollback .</w:t>
            </w:r>
          </w:p>
        </w:tc>
        <w:tc>
          <w:tcPr>
            <w:tcW w:type="dxa" w:w="60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/; recovery retry idempotent outbox history .</w:t>
            </w:r>
          </w:p>
        </w:tc>
      </w:tr>
    </w:tbl>
    <w:p>
      <w:pPr>
        <w:pStyle w:val="Heading2"/>
        <w:spacing w:before="160" w:after="80"/>
      </w:pPr>
      <w:r>
        <w:rPr>
          <w:color w:val="1F4269"/>
        </w:rPr>
        <w:t>Required .gitignore baseline (Proposal)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21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57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ignore</w:t>
            </w:r>
          </w:p>
        </w:tc>
        <w:tc>
          <w:tcPr>
            <w:tcW w:type="dxa" w:w="72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commit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Secrets/local env</w:t>
            </w:r>
          </w:p>
        </w:tc>
        <w:tc>
          <w:tcPr>
            <w:tcW w:type="dxa" w:w="57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.env, .env.local, .env.*.local, *.pem, *.key, *.p12</w:t>
            </w:r>
          </w:p>
        </w:tc>
        <w:tc>
          <w:tcPr>
            <w:tcW w:type="dxa" w:w="72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`.env.example` placeholder secret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Build/cache</w:t>
            </w:r>
          </w:p>
        </w:tc>
        <w:tc>
          <w:tcPr>
            <w:tcW w:type="dxa" w:w="57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node_modules/, .next/, dist/, coverage/, *.tsbuildinfo</w:t>
            </w:r>
          </w:p>
        </w:tc>
        <w:tc>
          <w:tcPr>
            <w:tcW w:type="dxa" w:w="72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lockfile source config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Local data/output</w:t>
            </w:r>
          </w:p>
        </w:tc>
        <w:tc>
          <w:tcPr>
            <w:tcW w:type="dxa" w:w="57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*.sqlite, *.dump, test-results/, playwright-report/, uploads/</w:t>
            </w:r>
          </w:p>
        </w:tc>
        <w:tc>
          <w:tcPr>
            <w:tcW w:type="dxa" w:w="72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synthetic fixture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Database tooling</w:t>
            </w:r>
          </w:p>
        </w:tc>
        <w:tc>
          <w:tcPr>
            <w:tcW w:type="dxa" w:w="57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Prisma local engine/cache</w:t>
            </w:r>
          </w:p>
        </w:tc>
        <w:tc>
          <w:tcPr>
            <w:tcW w:type="dxa" w:w="72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`schema.prisma`, `migrations/**`, SQL constraints/indexes migration documentation</w:t>
            </w:r>
          </w:p>
        </w:tc>
      </w:tr>
    </w:tbl>
    <w:p>
      <w:pPr>
        <w:spacing w:after="60" w:line="252" w:lineRule="auto"/>
      </w:pPr>
      <w:r>
        <w:rPr>
          <w:sz w:val="18"/>
        </w:rPr>
        <w:t>Prohibited ignore migration “”; migration deployment review .</w:t>
      </w:r>
    </w:p>
    <w:p>
      <w:r>
        <w:br w:type="page"/>
      </w:r>
    </w:p>
    <w:p>
      <w:pPr>
        <w:pStyle w:val="Heading1"/>
        <w:spacing w:before="160" w:after="80"/>
      </w:pPr>
      <w:r>
        <w:rPr>
          <w:color w:val="1F4269"/>
        </w:rPr>
        <w:t>3. Secrets and environment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Environment</w:t>
            </w:r>
          </w:p>
        </w:tc>
        <w:tc>
          <w:tcPr>
            <w:tcW w:type="dxa" w:w="43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/</w:t>
            </w:r>
          </w:p>
        </w:tc>
        <w:tc>
          <w:tcPr>
            <w:tcW w:type="dxa" w:w="655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CI rule</w:t>
            </w:r>
          </w:p>
        </w:tc>
        <w:tc>
          <w:tcPr>
            <w:tcW w:type="dxa" w:w="172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local</w:t>
            </w:r>
          </w:p>
        </w:tc>
        <w:tc>
          <w:tcPr>
            <w:tcW w:type="dxa" w:w="43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synthetic local DB/bucket/queue; `.env.local`</w:t>
            </w:r>
          </w:p>
        </w:tc>
        <w:tc>
          <w:tcPr>
            <w:tcW w:type="dxa" w:w="655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developer credentials local-only; pre-commit/CI secret</w:t>
            </w:r>
          </w:p>
        </w:tc>
        <w:tc>
          <w:tcPr>
            <w:tcW w:type="dxa" w:w="172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test (CI)</w:t>
            </w:r>
          </w:p>
        </w:tc>
        <w:tc>
          <w:tcPr>
            <w:tcW w:type="dxa" w:w="43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ephemeral PostgreSQL fixture ; bucket/queue test</w:t>
            </w:r>
          </w:p>
        </w:tc>
        <w:tc>
          <w:tcPr>
            <w:tcW w:type="dxa" w:w="655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CI inject secret secret store; resource job; Prohibited production</w:t>
            </w:r>
          </w:p>
        </w:tc>
        <w:tc>
          <w:tcPr>
            <w:tcW w:type="dxa" w:w="172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staging / UAT</w:t>
            </w:r>
          </w:p>
        </w:tc>
        <w:tc>
          <w:tcPr>
            <w:tcW w:type="dxa" w:w="43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anonymized ; infra</w:t>
            </w:r>
          </w:p>
        </w:tc>
        <w:tc>
          <w:tcPr>
            <w:tcW w:type="dxa" w:w="655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deploy artifact ; access scope; public release</w:t>
            </w:r>
          </w:p>
        </w:tc>
        <w:tc>
          <w:tcPr>
            <w:tcW w:type="dxa" w:w="172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production</w:t>
            </w:r>
          </w:p>
        </w:tc>
        <w:tc>
          <w:tcPr>
            <w:tcW w:type="dxa" w:w="43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database/bucket/queue/account ; gate</w:t>
            </w:r>
          </w:p>
        </w:tc>
        <w:tc>
          <w:tcPr>
            <w:tcW w:type="dxa" w:w="655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approval, change record, runtime/migration secret , observability redaction</w:t>
            </w:r>
          </w:p>
        </w:tc>
        <w:tc>
          <w:tcPr>
            <w:tcW w:type="dxa" w:w="172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Needs Legal Review</w:t>
            </w:r>
          </w:p>
        </w:tc>
      </w:tr>
    </w:tbl>
    <w:p>
      <w:pPr>
        <w:pStyle w:val="Heading2"/>
        <w:spacing w:before="160" w:after="80"/>
      </w:pPr>
      <w:r>
        <w:rPr>
          <w:color w:val="1F4269"/>
        </w:rPr>
        <w:t>Secret controls</w:t>
      </w:r>
    </w:p>
    <w:p>
      <w:pPr>
        <w:pStyle w:val="ListBullet"/>
        <w:spacing w:after="20"/>
      </w:pPr>
      <w:r>
        <w:rPr>
          <w:sz w:val="17"/>
        </w:rPr>
        <w:t>secret store environment source of truth; repository, issue, browser bundle, seed/fixture log secret.</w:t>
      </w:r>
    </w:p>
    <w:p>
      <w:pPr>
        <w:pStyle w:val="ListBullet"/>
        <w:spacing w:after="20"/>
      </w:pPr>
      <w:r>
        <w:rPr>
          <w:sz w:val="17"/>
        </w:rPr>
        <w:t>runtime DB role, migrator DB role CI identity least privilege; rotation/revocation source code.</w:t>
      </w:r>
    </w:p>
    <w:p>
      <w:pPr>
        <w:pStyle w:val="ListBullet"/>
        <w:spacing w:after="20"/>
      </w:pPr>
      <w:r>
        <w:rPr>
          <w:sz w:val="17"/>
        </w:rPr>
        <w:t>CI masked outputs, redacted logs, short-lived credentials where supported, block pull request secret scan .</w:t>
      </w:r>
    </w:p>
    <w:p>
      <w:pPr>
        <w:pStyle w:val="ListBullet"/>
        <w:spacing w:after="20"/>
      </w:pPr>
      <w:r>
        <w:rPr>
          <w:sz w:val="17"/>
        </w:rPr>
        <w:t>secret : revoke/rotate , deployment access, incident/audit record append-only, re-run gates 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Config exposure</w:t>
            </w:r>
          </w:p>
        </w:tc>
        <w:tc>
          <w:tcPr>
            <w:tcW w:type="dxa" w:w="57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Allowed</w:t>
            </w:r>
          </w:p>
        </w:tc>
        <w:tc>
          <w:tcPr>
            <w:tcW w:type="dxa" w:w="57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Prohibited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Client-visible</w:t>
            </w:r>
          </w:p>
        </w:tc>
        <w:tc>
          <w:tcPr>
            <w:tcW w:type="dxa" w:w="57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endpoint public, non-secret feature flag, CDN public asset base URL</w:t>
            </w:r>
          </w:p>
        </w:tc>
        <w:tc>
          <w:tcPr>
            <w:tcW w:type="dxa" w:w="57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database URL, auth secret, signing key, queue/object-storage credential, internal API URL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Server-only</w:t>
            </w:r>
          </w:p>
        </w:tc>
        <w:tc>
          <w:tcPr>
            <w:tcW w:type="dxa" w:w="57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secret refs, private endpoints, role/action/scope policy config</w:t>
            </w:r>
          </w:p>
        </w:tc>
        <w:tc>
          <w:tcPr>
            <w:tcW w:type="dxa" w:w="57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response, telemetry redacted static bundle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rPr>
          <w:color w:val="1F4269"/>
        </w:rPr>
        <w:t>4. CI quality gates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64040" cy="19063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_ci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190632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237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Job (Proposal)</w:t>
            </w:r>
          </w:p>
        </w:tc>
        <w:tc>
          <w:tcPr>
            <w:tcW w:type="dxa" w:w="60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669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/ failure &amp; recovery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install / lockfile</w:t>
            </w:r>
          </w:p>
        </w:tc>
        <w:tc>
          <w:tcPr>
            <w:tcW w:type="dxa" w:w="60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dependency install reproducible lockfile</w:t>
            </w:r>
          </w:p>
        </w:tc>
        <w:tc>
          <w:tcPr>
            <w:tcW w:type="dxa" w:w="669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lockfile ; failure manifest/lockfile PR job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lint</w:t>
            </w:r>
          </w:p>
        </w:tc>
        <w:tc>
          <w:tcPr>
            <w:tcW w:type="dxa" w:w="60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code style, unsafe patterns, import/config rules</w:t>
            </w:r>
          </w:p>
        </w:tc>
        <w:tc>
          <w:tcPr>
            <w:tcW w:type="dxa" w:w="669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zero configured errors; source/config re-run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typecheck</w:t>
            </w:r>
          </w:p>
        </w:tc>
        <w:tc>
          <w:tcPr>
            <w:tcW w:type="dxa" w:w="60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TypeScript typed config contracts</w:t>
            </w:r>
          </w:p>
        </w:tc>
        <w:tc>
          <w:tcPr>
            <w:tcW w:type="dxa" w:w="669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zero type errors; Prohibited suppress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test:unit</w:t>
            </w:r>
          </w:p>
        </w:tc>
        <w:tc>
          <w:tcPr>
            <w:tcW w:type="dxa" w:w="60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domain rules validators fixture</w:t>
            </w:r>
          </w:p>
        </w:tc>
        <w:tc>
          <w:tcPr>
            <w:tcW w:type="dxa" w:w="669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test ; flaky test quarantine issue/expiry—not silently ignore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test:integration</w:t>
            </w:r>
          </w:p>
        </w:tc>
        <w:tc>
          <w:tcPr>
            <w:tcW w:type="dxa" w:w="60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PostgreSQL/Prisma transaction, outbox, history, migration path</w:t>
            </w:r>
          </w:p>
        </w:tc>
        <w:tc>
          <w:tcPr>
            <w:tcW w:type="dxa" w:w="669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ephemeral DB cleanup; failure redacted logs/artifacts migration/code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test:permissions</w:t>
            </w:r>
          </w:p>
        </w:tc>
        <w:tc>
          <w:tcPr>
            <w:tcW w:type="dxa" w:w="60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server authorization, deny-by-default, cross-scope=403, maker-checker negative cases</w:t>
            </w:r>
          </w:p>
        </w:tc>
        <w:tc>
          <w:tcPr>
            <w:tcW w:type="dxa" w:w="669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negative case expected 403/deny; UI visibility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migration:verify</w:t>
            </w:r>
          </w:p>
        </w:tc>
        <w:tc>
          <w:tcPr>
            <w:tcW w:type="dxa" w:w="60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Prisma validate/generate apply schema empty DB + upgrade path</w:t>
            </w:r>
          </w:p>
        </w:tc>
        <w:tc>
          <w:tcPr>
            <w:tcW w:type="dxa" w:w="669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drift/constraint failure; rollback app backup plan change record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build</w:t>
            </w:r>
          </w:p>
        </w:tc>
        <w:tc>
          <w:tcPr>
            <w:tcW w:type="dxa" w:w="60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Next.js production build environment secret</w:t>
            </w:r>
          </w:p>
        </w:tc>
        <w:tc>
          <w:tcPr>
            <w:tcW w:type="dxa" w:w="669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build ; failure server/client boundary config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secret scan</w:t>
            </w:r>
          </w:p>
        </w:tc>
        <w:tc>
          <w:tcPr>
            <w:tcW w:type="dxa" w:w="60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committed secret/pattern/credential leak</w:t>
            </w:r>
          </w:p>
        </w:tc>
        <w:tc>
          <w:tcPr>
            <w:tcW w:type="dxa" w:w="669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finding block; revoke/rotate re-run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artifact / status gate</w:t>
            </w:r>
          </w:p>
        </w:tc>
        <w:tc>
          <w:tcPr>
            <w:tcW w:type="dxa" w:w="60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publish artifact CI required checks</w:t>
            </w:r>
          </w:p>
        </w:tc>
        <w:tc>
          <w:tcPr>
            <w:tcW w:type="dxa" w:w="6696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job required = CI green; merge/deploy block job fail</w:t>
            </w:r>
          </w:p>
        </w:tc>
      </w:tr>
    </w:tbl>
    <w:p>
      <w:pPr>
        <w:spacing w:after="60" w:line="252" w:lineRule="auto"/>
      </w:pPr>
      <w:r>
        <w:rPr>
          <w:sz w:val="18"/>
        </w:rPr>
        <w:t>script, runner image, CI provider, scanner thresholds Proposal owner/ platform . Prohibited CI production secret .</w:t>
      </w:r>
    </w:p>
    <w:p>
      <w:r>
        <w:br w:type="page"/>
      </w:r>
    </w:p>
    <w:p>
      <w:pPr>
        <w:pStyle w:val="Heading1"/>
        <w:spacing w:before="160" w:after="80"/>
      </w:pPr>
      <w:r>
        <w:rPr>
          <w:color w:val="1F4269"/>
        </w:rPr>
        <w:t>5. Migration and deployment runbook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21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331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Role owner</w:t>
            </w:r>
          </w:p>
        </w:tc>
        <w:tc>
          <w:tcPr>
            <w:tcW w:type="dxa" w:w="96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Evidence / stop point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1. PR</w:t>
            </w:r>
          </w:p>
        </w:tc>
        <w:tc>
          <w:tcPr>
            <w:tcW w:type="dxa" w:w="331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+ reviewer</w:t>
            </w:r>
          </w:p>
        </w:tc>
        <w:tc>
          <w:tcPr>
            <w:tcW w:type="dxa" w:w="96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schema/migration/test/synthetic fixture PR ; CI merge.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2. migration</w:t>
            </w:r>
          </w:p>
        </w:tc>
        <w:tc>
          <w:tcPr>
            <w:tcW w:type="dxa" w:w="331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DB reviewer / platform approver</w:t>
            </w:r>
          </w:p>
        </w:tc>
        <w:tc>
          <w:tcPr>
            <w:tcW w:type="dxa" w:w="96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forward-only, index/constraint, transaction boundary, data backfill plan Impact lock.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3. isolated</w:t>
            </w:r>
          </w:p>
        </w:tc>
        <w:tc>
          <w:tcPr>
            <w:tcW w:type="dxa" w:w="331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CI/staging operator</w:t>
            </w:r>
          </w:p>
        </w:tc>
        <w:tc>
          <w:tcPr>
            <w:tcW w:type="dxa" w:w="96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apply empty DB upgrade path resource ; artifact/redacted log.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4. deploy</w:t>
            </w:r>
          </w:p>
        </w:tc>
        <w:tc>
          <w:tcPr>
            <w:tcW w:type="dxa" w:w="331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maker-checker approver</w:t>
            </w:r>
          </w:p>
        </w:tc>
        <w:tc>
          <w:tcPr>
            <w:tcW w:type="dxa" w:w="96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change record, backup/restore readiness, version compatibility env separation.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5. Deploy compatible app</w:t>
            </w:r>
          </w:p>
        </w:tc>
        <w:tc>
          <w:tcPr>
            <w:tcW w:type="dxa" w:w="331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release operator</w:t>
            </w:r>
          </w:p>
        </w:tc>
        <w:tc>
          <w:tcPr>
            <w:tcW w:type="dxa" w:w="96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deploy app backward compatible / migration plan; monitor error, queue lag, audit/outbox.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6. Apply migration</w:t>
            </w:r>
          </w:p>
        </w:tc>
        <w:tc>
          <w:tcPr>
            <w:tcW w:type="dxa" w:w="331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migrator identity</w:t>
            </w:r>
          </w:p>
        </w:tc>
        <w:tc>
          <w:tcPr>
            <w:tcW w:type="dxa" w:w="96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credential migrator ; failure 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7. Verify / recover</w:t>
            </w:r>
          </w:p>
        </w:tc>
        <w:tc>
          <w:tcPr>
            <w:tcW w:type="dxa" w:w="331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release operator + data owner</w:t>
            </w:r>
          </w:p>
        </w:tc>
        <w:tc>
          <w:tcPr>
            <w:tcW w:type="dxa" w:w="964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health, schema version, audit/outbox. rollback application ; database recovery backup/restore destructive down migration .</w:t>
            </w:r>
          </w:p>
        </w:tc>
      </w:tr>
    </w:tbl>
    <w:p>
      <w:pPr>
        <w:pStyle w:val="Heading2"/>
        <w:spacing w:before="160" w:after="80"/>
      </w:pPr>
      <w:r>
        <w:rPr>
          <w:color w:val="1F4269"/>
        </w:rPr>
        <w:t>Failure modes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316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Failure mode</w:t>
            </w:r>
          </w:p>
        </w:tc>
        <w:tc>
          <w:tcPr>
            <w:tcW w:type="dxa" w:w="374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820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Recovery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migration lock/timeout</w:t>
            </w:r>
          </w:p>
        </w:tc>
        <w:tc>
          <w:tcPr>
            <w:tcW w:type="dxa" w:w="374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deploy latency</w:t>
            </w:r>
          </w:p>
        </w:tc>
        <w:tc>
          <w:tcPr>
            <w:tcW w:type="dxa" w:w="820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rollout, lock, rollback app , change record retry ; event/audit.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outbox/job backlog</w:t>
            </w:r>
          </w:p>
        </w:tc>
        <w:tc>
          <w:tcPr>
            <w:tcW w:type="dxa" w:w="374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notification/derived work</w:t>
            </w:r>
          </w:p>
        </w:tc>
        <w:tc>
          <w:tcPr>
            <w:tcW w:type="dxa" w:w="820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event commit , retry idempotent, monitor dead-letter, replay outbox 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secret scan finding</w:t>
            </w:r>
          </w:p>
        </w:tc>
        <w:tc>
          <w:tcPr>
            <w:tcW w:type="dxa" w:w="374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merge/deploy block</w:t>
            </w:r>
          </w:p>
        </w:tc>
        <w:tc>
          <w:tcPr>
            <w:tcW w:type="dxa" w:w="820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revoke/rotate, remove exposure, validate logs/artifacts, add preventive test/rule re-run.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permission test regression</w:t>
            </w:r>
          </w:p>
        </w:tc>
        <w:tc>
          <w:tcPr>
            <w:tcW w:type="dxa" w:w="374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scope escalation</w:t>
            </w:r>
          </w:p>
        </w:tc>
        <w:tc>
          <w:tcPr>
            <w:tcW w:type="dxa" w:w="820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block merge, repair server guard/policy, negative case, re-run permission suite.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backup restore not proven</w:t>
            </w:r>
          </w:p>
        </w:tc>
        <w:tc>
          <w:tcPr>
            <w:tcW w:type="dxa" w:w="374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820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gate; restore drill isolated/synthetic target RTO/RPO proposal .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rPr>
          <w:color w:val="1F4269"/>
        </w:rPr>
        <w:t>6. Required README runbook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25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README</w:t>
            </w:r>
          </w:p>
        </w:tc>
        <w:tc>
          <w:tcPr>
            <w:tcW w:type="dxa" w:w="1022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144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Purpose &amp; boundaries</w:t>
            </w:r>
          </w:p>
        </w:tc>
        <w:tc>
          <w:tcPr>
            <w:tcW w:type="dxa" w:w="1022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local/test/staging; public projection source operational; server-side authorization .</w:t>
            </w:r>
          </w:p>
        </w:tc>
        <w:tc>
          <w:tcPr>
            <w:tcW w:type="dxa" w:w="144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Prerequisites</w:t>
            </w:r>
          </w:p>
        </w:tc>
        <w:tc>
          <w:tcPr>
            <w:tcW w:type="dxa" w:w="1022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runtime/package-manager version , container/DB requirement, access channel owner . Prohibited secret.</w:t>
            </w:r>
          </w:p>
        </w:tc>
        <w:tc>
          <w:tcPr>
            <w:tcW w:type="dxa" w:w="144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First run</w:t>
            </w:r>
          </w:p>
        </w:tc>
        <w:tc>
          <w:tcPr>
            <w:tcW w:type="dxa" w:w="1022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copy `.env.example` `.env.local`, endpoint/placeholder synthetic resources, install, generate client, migrate local, seed synthetic, start app. script .</w:t>
            </w:r>
          </w:p>
        </w:tc>
        <w:tc>
          <w:tcPr>
            <w:tcW w:type="dxa" w:w="144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Quality commands</w:t>
            </w:r>
          </w:p>
        </w:tc>
        <w:tc>
          <w:tcPr>
            <w:tcW w:type="dxa" w:w="1022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lint, typecheck, unit/integration/permission/e2e, build, migration verify secret scan expected clean state.</w:t>
            </w:r>
          </w:p>
        </w:tc>
        <w:tc>
          <w:tcPr>
            <w:tcW w:type="dxa" w:w="144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Data safety</w:t>
            </w:r>
          </w:p>
        </w:tc>
        <w:tc>
          <w:tcPr>
            <w:tcW w:type="dxa" w:w="1022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Prohibited production export, personal data, object bytes credentials fixture. Redact logs test resources policy.</w:t>
            </w:r>
          </w:p>
        </w:tc>
        <w:tc>
          <w:tcPr>
            <w:tcW w:type="dxa" w:w="144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Troubleshooting</w:t>
            </w:r>
          </w:p>
        </w:tc>
        <w:tc>
          <w:tcPr>
            <w:tcW w:type="dxa" w:w="1022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env validation error, migration failure, failed 403 test, queue backlog, secret scan finding escalation path.</w:t>
            </w:r>
          </w:p>
        </w:tc>
        <w:tc>
          <w:tcPr>
            <w:tcW w:type="dxa" w:w="144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Operational links</w:t>
            </w:r>
          </w:p>
        </w:tc>
        <w:tc>
          <w:tcPr>
            <w:tcW w:type="dxa" w:w="1022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runbooks, ADRs, incident template, change record owner/DPO/legal review gates.</w:t>
            </w:r>
          </w:p>
        </w:tc>
        <w:tc>
          <w:tcPr>
            <w:tcW w:type="dxa" w:w="1440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Needs Legal Review</w:t>
            </w:r>
          </w:p>
        </w:tc>
      </w:tr>
    </w:tbl>
    <w:p>
      <w:pPr>
        <w:pStyle w:val="Heading2"/>
        <w:spacing w:before="160" w:after="80"/>
      </w:pPr>
      <w:r>
        <w:rPr>
          <w:color w:val="1F4269"/>
        </w:rPr>
        <w:t>Handover and CI green definition</w:t>
      </w:r>
    </w:p>
    <w:p>
      <w:pPr>
        <w:pStyle w:val="ListBullet"/>
        <w:spacing w:after="20"/>
      </w:pPr>
      <w:r>
        <w:rPr>
          <w:sz w:val="17"/>
        </w:rPr>
        <w:t>Owner CI provider, branch protection, approval group, runner isolation, secret store, package/runtime versions scanner policy.</w:t>
      </w:r>
    </w:p>
    <w:p>
      <w:pPr>
        <w:pStyle w:val="ListBullet"/>
        <w:spacing w:after="20"/>
      </w:pPr>
      <w:r>
        <w:rPr>
          <w:sz w:val="17"/>
        </w:rPr>
        <w:t>workflow PR source/fixtures ; job CI green.</w:t>
      </w:r>
    </w:p>
    <w:p>
      <w:pPr>
        <w:pStyle w:val="ListBullet"/>
        <w:spacing w:after="20"/>
      </w:pPr>
      <w:r>
        <w:rPr>
          <w:sz w:val="17"/>
        </w:rPr>
        <w:t>public release legal/DPO — compliance.</w:t>
      </w:r>
    </w:p>
    <w:p>
      <w:pPr>
        <w:pStyle w:val="Heading2"/>
        <w:spacing w:before="160" w:after="80"/>
      </w:pPr>
      <w:r>
        <w:rPr>
          <w:color w:val="1F4269"/>
        </w:rPr>
        <w:t>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172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23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022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1F426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/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DEVOPS-01</w:t>
            </w:r>
          </w:p>
        </w:tc>
        <w:tc>
          <w:tcPr>
            <w:tcW w:type="dxa" w:w="223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Confirmed</w:t>
            </w:r>
          </w:p>
        </w:tc>
        <w:tc>
          <w:tcPr>
            <w:tcW w:type="dxa" w:w="1022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environment resources/credentials Prohibited secret repository blast radius.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DEVOPS-02</w:t>
            </w:r>
          </w:p>
        </w:tc>
        <w:tc>
          <w:tcPr>
            <w:tcW w:type="dxa" w:w="223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Confirmed</w:t>
            </w:r>
          </w:p>
        </w:tc>
        <w:tc>
          <w:tcPr>
            <w:tcW w:type="dxa" w:w="1022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server-side authorization append-only event/audit/outbox transaction 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DEVOPS-03</w:t>
            </w:r>
          </w:p>
        </w:tc>
        <w:tc>
          <w:tcPr>
            <w:tcW w:type="dxa" w:w="223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Proposal</w:t>
            </w:r>
          </w:p>
        </w:tc>
        <w:tc>
          <w:tcPr>
            <w:tcW w:type="dxa" w:w="1022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protected main + required quality/security/migration gates baseline merge.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DEVOPS-04</w:t>
            </w:r>
          </w:p>
        </w:tc>
        <w:tc>
          <w:tcPr>
            <w:tcW w:type="dxa" w:w="223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Proposal</w:t>
            </w:r>
          </w:p>
        </w:tc>
        <w:tc>
          <w:tcPr>
            <w:tcW w:type="dxa" w:w="1022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  <w:shd w:fill="EEF3F8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forward-only migration recovery app rollback/approved restore automatic destructive down migration.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DEVOPS-05</w:t>
            </w:r>
          </w:p>
        </w:tc>
        <w:tc>
          <w:tcPr>
            <w:tcW w:type="dxa" w:w="2232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Needs Legal Review</w:t>
            </w:r>
          </w:p>
        </w:tc>
        <w:tc>
          <w:tcPr>
            <w:tcW w:type="dxa" w:w="10224"/>
            <w:vAlign w:val="center"/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</w:tcBorders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production , retention, public release access logging details DPO/ evidence.</w:t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749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5"/>
      </w:rPr>
      <w:t>Repo / CI Operating Model | Sangha and Education Data Platform | Owner review 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26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26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