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87" w:rsidRPr="00483287" w:rsidRDefault="00483287" w:rsidP="00483287">
      <w:pPr>
        <w:spacing w:after="120" w:line="240" w:lineRule="auto"/>
        <w:jc w:val="center"/>
        <w:rPr>
          <w:b/>
          <w:caps/>
        </w:rPr>
      </w:pPr>
      <w:r w:rsidRPr="00483287">
        <w:rPr>
          <w:b/>
          <w:caps/>
        </w:rPr>
        <w:t>Группа 27</w:t>
      </w:r>
    </w:p>
    <w:p w:rsidR="00483287" w:rsidRPr="00483287" w:rsidRDefault="00483287" w:rsidP="00483287">
      <w:pPr>
        <w:spacing w:after="120" w:line="240" w:lineRule="auto"/>
        <w:jc w:val="center"/>
        <w:rPr>
          <w:b/>
          <w:caps/>
          <w:szCs w:val="24"/>
        </w:rPr>
      </w:pPr>
      <w:r w:rsidRPr="00483287">
        <w:rPr>
          <w:b/>
          <w:caps/>
          <w:szCs w:val="24"/>
        </w:rPr>
        <w:t xml:space="preserve">Топливо минеральное, нефть и продукты их перегонки; </w:t>
      </w:r>
      <w:r w:rsidRPr="00483287">
        <w:rPr>
          <w:b/>
          <w:caps/>
          <w:szCs w:val="24"/>
        </w:rPr>
        <w:br/>
        <w:t>битуминозные вещества; воски минеральные</w:t>
      </w:r>
    </w:p>
    <w:p w:rsidR="00483287" w:rsidRPr="00483287" w:rsidRDefault="00483287" w:rsidP="00483287">
      <w:pPr>
        <w:spacing w:after="120" w:line="240" w:lineRule="auto"/>
        <w:jc w:val="both"/>
        <w:rPr>
          <w:b/>
        </w:rPr>
      </w:pPr>
      <w:r w:rsidRPr="00483287">
        <w:rPr>
          <w:b/>
        </w:rPr>
        <w:t>Примечания: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1.</w:t>
      </w:r>
      <w:r w:rsidRPr="00483287">
        <w:tab/>
        <w:t>В данную группу не включаются: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(а)</w:t>
      </w:r>
      <w:r w:rsidRPr="00483287">
        <w:tab/>
        <w:t>органические соединения определенного химического состава, кроме чистого метана и пропана товарной позиции 2711;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(б)</w:t>
      </w:r>
      <w:r w:rsidRPr="00483287">
        <w:tab/>
        <w:t>лекарственные средства товарной позиции 3003 или 3004; или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(в)</w:t>
      </w:r>
      <w:r w:rsidRPr="00483287">
        <w:tab/>
        <w:t>смешанные ненасыщенные углеводороды товарной позиции 3301, 3302 или 3805.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2.</w:t>
      </w:r>
      <w:r w:rsidRPr="00483287">
        <w:tab/>
        <w:t>В товарной позиции 2710 термин "нефть и нефтепродукты, полученные из битуминозных пород" означает не только нефть и нефтепродукты, полученные из битуминозных пород, но и полученные любым способом аналогичные нефтепродукты, включая состоящие главным образом из смешанных ненасыщенных углеводородов, при условии, что масса неароматических составных частей превышает массу ароматических.</w:t>
      </w:r>
    </w:p>
    <w:p w:rsidR="00483287" w:rsidRPr="00483287" w:rsidRDefault="00483287" w:rsidP="00483287">
      <w:pPr>
        <w:spacing w:after="120" w:line="240" w:lineRule="auto"/>
        <w:ind w:left="454"/>
        <w:jc w:val="both"/>
      </w:pPr>
      <w:r w:rsidRPr="00483287">
        <w:t>Однако сюда не включаются жидкие синтетические полиолефины, менее 60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к</w:t>
      </w:r>
      <w:proofErr w:type="gramEnd"/>
      <w:r w:rsidRPr="00483287">
        <w:t>оторых перегоняется до температуры 300 °C методом дистилляции под низким давлением, приведенным к давлению 1013 </w:t>
      </w:r>
      <w:proofErr w:type="spellStart"/>
      <w:r w:rsidRPr="00483287">
        <w:t>мбар</w:t>
      </w:r>
      <w:proofErr w:type="spellEnd"/>
      <w:r w:rsidRPr="00483287">
        <w:t xml:space="preserve"> (группа 39).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3.</w:t>
      </w:r>
      <w:r w:rsidRPr="00483287">
        <w:tab/>
        <w:t>В товарной позиции 2710 термин "отработанные нефтепродукты" означает отходы, содержащие преимущественно нефть или нефтепродукты, полученные из битуминозных пород (описанные в примечании 2 к данной группе), смешанные или не смешанные с водой. Сюда включаются: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(а)</w:t>
      </w:r>
      <w:r w:rsidRPr="00483287">
        <w:tab/>
        <w:t>нефтепродукты, непригодные для дальнейшего использования в качестве первичных продуктов (например, отработанные смазочные масла, отработанные гидравлические и трансформаторные масла);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(б)</w:t>
      </w:r>
      <w:r w:rsidRPr="00483287">
        <w:tab/>
        <w:t>нефтепродукты в виде шлама из баков-хранилищ нефтепродуктов, содержащие преимущественно эти нефтепродукты и присадки высокой концентрации (например, химические вещества), используемые в производстве первичных продуктов; и</w:t>
      </w:r>
    </w:p>
    <w:p w:rsidR="00483287" w:rsidRPr="00483287" w:rsidRDefault="00483287" w:rsidP="00483287">
      <w:pPr>
        <w:spacing w:after="120" w:line="240" w:lineRule="auto"/>
        <w:ind w:left="908" w:hanging="454"/>
        <w:jc w:val="both"/>
      </w:pPr>
      <w:r w:rsidRPr="00483287">
        <w:t>(в)</w:t>
      </w:r>
      <w:r w:rsidRPr="00483287">
        <w:tab/>
        <w:t>нефтепродукты в виде водных эмульсий или смесей с водой, образующихся, например, в результате утечки нефтепродуктов, в процессе промывки бака-хранилища нефтепродуктов, или использованные смазочно-охлаждающие жидкости, применяемые при механической обработке.</w:t>
      </w:r>
    </w:p>
    <w:p w:rsidR="00483287" w:rsidRPr="00483287" w:rsidRDefault="00483287" w:rsidP="00483287">
      <w:pPr>
        <w:spacing w:after="120" w:line="240" w:lineRule="auto"/>
        <w:jc w:val="both"/>
        <w:rPr>
          <w:b/>
        </w:rPr>
      </w:pPr>
      <w:r w:rsidRPr="00483287">
        <w:rPr>
          <w:b/>
        </w:rPr>
        <w:t>Примечания к субпозициям: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1.</w:t>
      </w:r>
      <w:r w:rsidRPr="00483287">
        <w:tab/>
        <w:t>В субпозиции 2701 11 термин "антрацит" означает уголь с предельным выходом летучих веществ (в пересчете на сухую беззольную основу) не</w:t>
      </w:r>
      <w:r w:rsidRPr="00483287">
        <w:rPr>
          <w:lang w:val="en-US"/>
        </w:rPr>
        <w:t> </w:t>
      </w:r>
      <w:r w:rsidRPr="00483287">
        <w:t>более</w:t>
      </w:r>
      <w:r w:rsidRPr="00483287">
        <w:rPr>
          <w:lang w:val="en-US"/>
        </w:rPr>
        <w:t> </w:t>
      </w:r>
      <w:r w:rsidRPr="00483287">
        <w:t xml:space="preserve">14%. 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2.</w:t>
      </w:r>
      <w:r w:rsidRPr="00483287">
        <w:tab/>
        <w:t xml:space="preserve">В субпозиции 2701 12 термин "уголь битуминозный" означает уголь с предельным выходом летучих веществ (в пересчете на сухую беззольную </w:t>
      </w:r>
      <w:r w:rsidRPr="00483287">
        <w:lastRenderedPageBreak/>
        <w:t>основу) более 14% и с предельной теплотой сгорания (в пересчете на влажную беззольную основу) не менее 5 833 ккал/кг.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3.</w:t>
      </w:r>
      <w:r w:rsidRPr="00483287">
        <w:tab/>
        <w:t>В субпозициях 2707 10, 2707 20, 2707 30 и 2707 40 термины "бензол", "толуол", "ксилол" и "нафталин" означают продукты, которые содержат более 50 </w:t>
      </w:r>
      <w:proofErr w:type="spellStart"/>
      <w:r w:rsidRPr="00483287">
        <w:t>мас</w:t>
      </w:r>
      <w:proofErr w:type="spellEnd"/>
      <w:r w:rsidRPr="00483287">
        <w:t xml:space="preserve">.% бензола, толуола, ксилола или нафталина, соответственно. 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4.</w:t>
      </w:r>
      <w:r w:rsidRPr="00483287">
        <w:tab/>
        <w:t>В субпозиции 2710 12 термин "легкие дистилляты и продукты" означает нефтепродукты, 90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и</w:t>
      </w:r>
      <w:proofErr w:type="gramEnd"/>
      <w:r w:rsidRPr="00483287">
        <w:t>ли более которых (включая потери) перегоняется до температуры 210 °C по методу ISO 3405 (эквивалентному методу ASTM D 86).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5.</w:t>
      </w:r>
      <w:r w:rsidRPr="00483287">
        <w:tab/>
        <w:t>В субпозициях товарной позиции 2710 термин "</w:t>
      </w:r>
      <w:proofErr w:type="spellStart"/>
      <w:r w:rsidRPr="00483287">
        <w:t>биодизель</w:t>
      </w:r>
      <w:proofErr w:type="spellEnd"/>
      <w:r w:rsidRPr="00483287">
        <w:t xml:space="preserve">" означает </w:t>
      </w:r>
      <w:proofErr w:type="spellStart"/>
      <w:r w:rsidRPr="00483287">
        <w:t>моноалкиловые</w:t>
      </w:r>
      <w:proofErr w:type="spellEnd"/>
      <w:r w:rsidRPr="00483287">
        <w:t xml:space="preserve"> сложные эфиры жирных кислот, используемые в качестве топлива, получаемые из животных или растительных жиров и масел, отработанных или неотработанных.</w:t>
      </w:r>
    </w:p>
    <w:p w:rsidR="00483287" w:rsidRPr="00483287" w:rsidRDefault="00483287" w:rsidP="00483287">
      <w:pPr>
        <w:pStyle w:val="a7"/>
        <w:widowControl/>
        <w:spacing w:after="120"/>
      </w:pPr>
      <w:r w:rsidRPr="00483287">
        <w:t>Дополнительные примечания: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1.</w:t>
      </w:r>
      <w:r w:rsidRPr="00483287">
        <w:tab/>
        <w:t xml:space="preserve">В </w:t>
      </w:r>
      <w:proofErr w:type="spellStart"/>
      <w:r w:rsidRPr="00483287">
        <w:t>подсубпозиции</w:t>
      </w:r>
      <w:proofErr w:type="spellEnd"/>
      <w:r w:rsidRPr="00483287">
        <w:t xml:space="preserve"> 2707 99 800 термин "фенолы" означает продукты, которые содержат более 50 </w:t>
      </w:r>
      <w:proofErr w:type="spellStart"/>
      <w:r w:rsidRPr="00483287">
        <w:t>мас</w:t>
      </w:r>
      <w:proofErr w:type="spellEnd"/>
      <w:r w:rsidRPr="00483287">
        <w:t>.% фенолов.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2.</w:t>
      </w:r>
      <w:r w:rsidRPr="00483287">
        <w:tab/>
        <w:t>В товарной позиции 2710: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(а)</w:t>
      </w:r>
      <w:r w:rsidRPr="00483287">
        <w:tab/>
        <w:t>термин "специальные бензины" (</w:t>
      </w:r>
      <w:proofErr w:type="spellStart"/>
      <w:r w:rsidRPr="00483287">
        <w:t>подсубпозиции</w:t>
      </w:r>
      <w:proofErr w:type="spellEnd"/>
      <w:r w:rsidRPr="00483287">
        <w:t xml:space="preserve"> 2710 12 210 и 2710 12 250) означает легкие дистилляты и продукты, определенные выше в примечании к субпозициям 4, без каких-либо антидетонационных присадок и с разницей температур, при которых перегоняется 5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и</w:t>
      </w:r>
      <w:proofErr w:type="gramEnd"/>
      <w:r w:rsidRPr="00483287">
        <w:t xml:space="preserve"> 90 об.% (включая потери), не превышающей 60 °C 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(б)</w:t>
      </w:r>
      <w:r w:rsidRPr="00483287">
        <w:tab/>
        <w:t>термин "</w:t>
      </w:r>
      <w:proofErr w:type="spellStart"/>
      <w:r w:rsidRPr="00483287">
        <w:t>уайт</w:t>
      </w:r>
      <w:proofErr w:type="spellEnd"/>
      <w:r w:rsidRPr="00483287">
        <w:t>-спирит" (</w:t>
      </w:r>
      <w:proofErr w:type="spellStart"/>
      <w:r w:rsidRPr="00483287">
        <w:t>подсубпозиция</w:t>
      </w:r>
      <w:proofErr w:type="spellEnd"/>
      <w:r w:rsidRPr="00483287">
        <w:t xml:space="preserve"> 2710 12 210) означает специальные бензины, определенные выше в пункте (а), с температурой вспышки более 21 °C по методу EN ISO 13736;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(в)</w:t>
      </w:r>
      <w:r w:rsidRPr="00483287">
        <w:tab/>
        <w:t>термин "средние дистилляты" (</w:t>
      </w:r>
      <w:proofErr w:type="spellStart"/>
      <w:r w:rsidRPr="00483287">
        <w:t>подсубпозиции</w:t>
      </w:r>
      <w:proofErr w:type="spellEnd"/>
      <w:r w:rsidRPr="00483287">
        <w:t xml:space="preserve"> 2710 19 110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19 290) означает нефтяные фракции и другие нефтепродукты, у которых менее 90 об</w:t>
      </w:r>
      <w:proofErr w:type="gramStart"/>
      <w:r w:rsidRPr="00483287">
        <w:t>.</w:t>
      </w:r>
      <w:proofErr w:type="gramEnd"/>
      <w:r w:rsidRPr="00483287">
        <w:t>% (</w:t>
      </w:r>
      <w:proofErr w:type="gramStart"/>
      <w:r w:rsidRPr="00483287">
        <w:t>в</w:t>
      </w:r>
      <w:proofErr w:type="gramEnd"/>
      <w:r w:rsidRPr="00483287">
        <w:t>ключая потери) перегоняется при температуре 210 °C и 65 об.% или более (включая потери) перегоняется при температуре 250 °C по методу ISO 3405 (эквивалентному методу ASTM D 86);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(г)</w:t>
      </w:r>
      <w:r w:rsidRPr="00483287">
        <w:tab/>
        <w:t>термин "тяжелые дистилляты" (</w:t>
      </w:r>
      <w:proofErr w:type="spellStart"/>
      <w:r w:rsidRPr="00483287">
        <w:t>подсубпозиции</w:t>
      </w:r>
      <w:proofErr w:type="spellEnd"/>
      <w:r w:rsidRPr="00483287">
        <w:t xml:space="preserve"> 2710 19 310 – 2710 19 980 и 2710 20 110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20 900) означает нефтяные фракции и другие нефтепродукты, менее 65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к</w:t>
      </w:r>
      <w:proofErr w:type="gramEnd"/>
      <w:r w:rsidRPr="00483287">
        <w:t>оторых (включая потери) перегоняется при температуре 250 °C по методу ISO 3405 (эквивалентному методу ASTM D 86), или фракции, процент перегонки которых при температуре 250 °C не может быть определен данным методом;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(д)</w:t>
      </w:r>
      <w:r w:rsidRPr="00483287">
        <w:tab/>
        <w:t>термин "газойли" (</w:t>
      </w:r>
      <w:proofErr w:type="spellStart"/>
      <w:r w:rsidRPr="00483287">
        <w:t>подсубпозиции</w:t>
      </w:r>
      <w:proofErr w:type="spellEnd"/>
      <w:r w:rsidRPr="00483287">
        <w:t xml:space="preserve"> 2710 19 310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19 480 и 2710 20 110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20 190) означает тяжелые дистилляты, определенные выше в пункте (г), 85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к</w:t>
      </w:r>
      <w:proofErr w:type="gramEnd"/>
      <w:r w:rsidRPr="00483287">
        <w:t>оторых (включая потери) или более перегоняется при температуре 350 °C по методу ISO 3405 (эквивалентному методу ASTM D 86);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(е)</w:t>
      </w:r>
      <w:r w:rsidRPr="00483287">
        <w:tab/>
        <w:t>термин "топлива жидкие" (</w:t>
      </w:r>
      <w:proofErr w:type="spellStart"/>
      <w:r w:rsidRPr="00483287">
        <w:t>подсубпозиции</w:t>
      </w:r>
      <w:proofErr w:type="spellEnd"/>
      <w:r w:rsidRPr="00483287">
        <w:t xml:space="preserve"> 2710 19 510 – 2710 19 680 и 2710 20 310 – 2710 20 390) означает тяжелые дистилляты, определенные выше в пункте (г), кроме газойлей, определенных выше в пункте (д), </w:t>
      </w:r>
      <w:r w:rsidRPr="00483287">
        <w:lastRenderedPageBreak/>
        <w:t>которые при соответствующих колориметрических характеристиках в растворе</w:t>
      </w:r>
      <w:proofErr w:type="gramStart"/>
      <w:r w:rsidRPr="00483287">
        <w:t xml:space="preserve"> К</w:t>
      </w:r>
      <w:proofErr w:type="gramEnd"/>
      <w:r w:rsidRPr="00483287">
        <w:t xml:space="preserve"> имеют вязкость В: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t>–</w:t>
      </w:r>
      <w:r w:rsidRPr="00483287">
        <w:tab/>
        <w:t>не более</w:t>
      </w:r>
      <w:proofErr w:type="gramStart"/>
      <w:r w:rsidRPr="00483287">
        <w:t>,</w:t>
      </w:r>
      <w:proofErr w:type="gramEnd"/>
      <w:r w:rsidRPr="00483287">
        <w:t xml:space="preserve"> чем показано в строке I нижеследующей таблицы, при содержании сульфатной золы менее 1% по методу ISO 3987 и индексе омыления менее 4 по методу ISO 6293-1 или 6293-2;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t>–</w:t>
      </w:r>
      <w:r w:rsidRPr="00483287">
        <w:tab/>
        <w:t>более</w:t>
      </w:r>
      <w:proofErr w:type="gramStart"/>
      <w:r w:rsidRPr="00483287">
        <w:t>,</w:t>
      </w:r>
      <w:proofErr w:type="gramEnd"/>
      <w:r w:rsidRPr="00483287">
        <w:t xml:space="preserve"> чем показано в строке II, при температуре </w:t>
      </w:r>
      <w:r w:rsidR="008E564E">
        <w:t xml:space="preserve">потери </w:t>
      </w:r>
      <w:r w:rsidRPr="00483287">
        <w:t>текучести не менее 10 °C по методу ISO 3016;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t>–</w:t>
      </w:r>
      <w:r w:rsidRPr="00483287">
        <w:tab/>
        <w:t>более, чем показано в строке I, но не более, чем показано в строке II, если 25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и</w:t>
      </w:r>
      <w:proofErr w:type="gramEnd"/>
      <w:r w:rsidRPr="00483287">
        <w:t xml:space="preserve">ли более перегоняется при температуре 300 °C по методу ISO 3405 (эквивалентному методу ASTM D 86) или если менее 25 об.% перегоняется при температуре 300 °C и температура </w:t>
      </w:r>
      <w:r w:rsidR="008E564E">
        <w:t xml:space="preserve">потери </w:t>
      </w:r>
      <w:r w:rsidRPr="00483287">
        <w:t>текучести превышает минус 10 °C по методу ISO 3016. Данные параметры распространяются на фракции и продукты с колориметрическими характеристиками в растворе менее 2.</w:t>
      </w:r>
    </w:p>
    <w:p w:rsidR="00483287" w:rsidRPr="00483287" w:rsidRDefault="00483287" w:rsidP="00483287">
      <w:pPr>
        <w:pStyle w:val="aa"/>
        <w:widowControl/>
        <w:spacing w:after="120"/>
      </w:pPr>
    </w:p>
    <w:p w:rsidR="00483287" w:rsidRPr="00483287" w:rsidRDefault="00483287" w:rsidP="00483287">
      <w:pPr>
        <w:pStyle w:val="aa"/>
        <w:widowControl/>
        <w:spacing w:after="120"/>
      </w:pPr>
      <w:r w:rsidRPr="00483287">
        <w:t xml:space="preserve">Таблица соответствия колориметрических характеристик </w:t>
      </w:r>
      <w:r w:rsidRPr="00483287">
        <w:br/>
        <w:t>в растворе</w:t>
      </w:r>
      <w:proofErr w:type="gramStart"/>
      <w:r w:rsidRPr="00483287">
        <w:t xml:space="preserve"> К</w:t>
      </w:r>
      <w:proofErr w:type="gramEnd"/>
      <w:r w:rsidRPr="00483287">
        <w:t xml:space="preserve"> и вязкости В</w:t>
      </w:r>
    </w:p>
    <w:p w:rsidR="00483287" w:rsidRPr="00483287" w:rsidRDefault="00483287" w:rsidP="00483287">
      <w:pPr>
        <w:spacing w:after="120" w:line="240" w:lineRule="auto"/>
      </w:pPr>
    </w:p>
    <w:tbl>
      <w:tblPr>
        <w:tblStyle w:val="ac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84"/>
        <w:gridCol w:w="340"/>
        <w:gridCol w:w="454"/>
        <w:gridCol w:w="340"/>
        <w:gridCol w:w="454"/>
        <w:gridCol w:w="340"/>
        <w:gridCol w:w="567"/>
        <w:gridCol w:w="567"/>
        <w:gridCol w:w="567"/>
        <w:gridCol w:w="567"/>
        <w:gridCol w:w="510"/>
        <w:gridCol w:w="510"/>
        <w:gridCol w:w="510"/>
        <w:gridCol w:w="510"/>
        <w:gridCol w:w="510"/>
        <w:gridCol w:w="624"/>
        <w:gridCol w:w="737"/>
      </w:tblGrid>
      <w:tr w:rsidR="00483287" w:rsidRPr="000242EC" w:rsidTr="00C82E57">
        <w:trPr>
          <w:jc w:val="center"/>
        </w:trPr>
        <w:tc>
          <w:tcPr>
            <w:tcW w:w="1134" w:type="dxa"/>
          </w:tcPr>
          <w:p w:rsidR="00483287" w:rsidRPr="000242EC" w:rsidRDefault="00483287" w:rsidP="00483287">
            <w:pPr>
              <w:spacing w:after="120"/>
              <w:rPr>
                <w:spacing w:val="-10"/>
                <w:sz w:val="24"/>
                <w:szCs w:val="24"/>
              </w:rPr>
            </w:pPr>
            <w:r w:rsidRPr="000242EC">
              <w:rPr>
                <w:spacing w:val="-10"/>
                <w:sz w:val="24"/>
                <w:szCs w:val="24"/>
              </w:rPr>
              <w:t>Колориме</w:t>
            </w:r>
            <w:r w:rsidRPr="000242EC">
              <w:rPr>
                <w:spacing w:val="-10"/>
                <w:sz w:val="24"/>
                <w:szCs w:val="24"/>
              </w:rPr>
              <w:softHyphen/>
              <w:t>трическая характери</w:t>
            </w:r>
            <w:r w:rsidRPr="000242EC">
              <w:rPr>
                <w:spacing w:val="-10"/>
                <w:sz w:val="24"/>
                <w:szCs w:val="24"/>
              </w:rPr>
              <w:softHyphen/>
              <w:t>стика</w:t>
            </w:r>
          </w:p>
        </w:tc>
        <w:tc>
          <w:tcPr>
            <w:tcW w:w="28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0,5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1,5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2,5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3,5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4,5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5,5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6,5</w:t>
            </w:r>
          </w:p>
        </w:tc>
        <w:tc>
          <w:tcPr>
            <w:tcW w:w="62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</w:t>
            </w:r>
          </w:p>
        </w:tc>
        <w:tc>
          <w:tcPr>
            <w:tcW w:w="73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 xml:space="preserve">7,5 и </w:t>
            </w:r>
            <w:r w:rsidRPr="000242EC">
              <w:rPr>
                <w:sz w:val="24"/>
                <w:szCs w:val="24"/>
              </w:rPr>
              <w:br/>
              <w:t>более</w:t>
            </w:r>
          </w:p>
        </w:tc>
      </w:tr>
      <w:tr w:rsidR="00483287" w:rsidRPr="000242EC" w:rsidTr="00C82E57">
        <w:trPr>
          <w:jc w:val="center"/>
        </w:trPr>
        <w:tc>
          <w:tcPr>
            <w:tcW w:w="1134" w:type="dxa"/>
            <w:vMerge w:val="restart"/>
          </w:tcPr>
          <w:p w:rsidR="00483287" w:rsidRPr="000242EC" w:rsidRDefault="00483287" w:rsidP="00483287">
            <w:pPr>
              <w:spacing w:after="120"/>
              <w:rPr>
                <w:spacing w:val="-14"/>
                <w:sz w:val="24"/>
                <w:szCs w:val="24"/>
              </w:rPr>
            </w:pPr>
            <w:r w:rsidRPr="000242EC">
              <w:rPr>
                <w:spacing w:val="-14"/>
                <w:sz w:val="24"/>
                <w:szCs w:val="24"/>
              </w:rPr>
              <w:t>Вязкость</w:t>
            </w:r>
            <w:proofErr w:type="gramStart"/>
            <w:r w:rsidRPr="000242EC">
              <w:rPr>
                <w:spacing w:val="-14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8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I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5,4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15,1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25,3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42,4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71,1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119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200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335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562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943</w:t>
            </w:r>
          </w:p>
        </w:tc>
        <w:tc>
          <w:tcPr>
            <w:tcW w:w="62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1580</w:t>
            </w:r>
          </w:p>
        </w:tc>
        <w:tc>
          <w:tcPr>
            <w:tcW w:w="73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2650</w:t>
            </w:r>
          </w:p>
        </w:tc>
      </w:tr>
      <w:tr w:rsidR="00483287" w:rsidRPr="000242EC" w:rsidTr="00C82E57">
        <w:trPr>
          <w:jc w:val="center"/>
        </w:trPr>
        <w:tc>
          <w:tcPr>
            <w:tcW w:w="1134" w:type="dxa"/>
            <w:vMerge/>
          </w:tcPr>
          <w:p w:rsidR="00483287" w:rsidRPr="000242EC" w:rsidRDefault="00483287" w:rsidP="00483287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II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</w:t>
            </w:r>
          </w:p>
        </w:tc>
        <w:tc>
          <w:tcPr>
            <w:tcW w:w="45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</w:t>
            </w:r>
          </w:p>
        </w:tc>
        <w:tc>
          <w:tcPr>
            <w:tcW w:w="34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15,1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25,3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42,4</w:t>
            </w:r>
          </w:p>
        </w:tc>
        <w:tc>
          <w:tcPr>
            <w:tcW w:w="56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71,1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119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200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335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562</w:t>
            </w:r>
          </w:p>
        </w:tc>
        <w:tc>
          <w:tcPr>
            <w:tcW w:w="510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943</w:t>
            </w:r>
          </w:p>
        </w:tc>
        <w:tc>
          <w:tcPr>
            <w:tcW w:w="624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1580</w:t>
            </w:r>
          </w:p>
        </w:tc>
        <w:tc>
          <w:tcPr>
            <w:tcW w:w="737" w:type="dxa"/>
          </w:tcPr>
          <w:p w:rsidR="00483287" w:rsidRPr="000242EC" w:rsidRDefault="00483287" w:rsidP="00483287">
            <w:pPr>
              <w:spacing w:after="120"/>
              <w:jc w:val="center"/>
              <w:rPr>
                <w:sz w:val="24"/>
                <w:szCs w:val="24"/>
              </w:rPr>
            </w:pPr>
            <w:r w:rsidRPr="000242EC">
              <w:rPr>
                <w:sz w:val="24"/>
                <w:szCs w:val="24"/>
              </w:rPr>
              <w:t>2650</w:t>
            </w:r>
          </w:p>
        </w:tc>
      </w:tr>
    </w:tbl>
    <w:p w:rsidR="00483287" w:rsidRPr="00483287" w:rsidRDefault="00483287" w:rsidP="00483287">
      <w:pPr>
        <w:spacing w:after="120" w:line="240" w:lineRule="auto"/>
      </w:pPr>
    </w:p>
    <w:p w:rsidR="00483287" w:rsidRPr="00483287" w:rsidRDefault="00483287" w:rsidP="00483287">
      <w:pPr>
        <w:pStyle w:val="ab"/>
        <w:widowControl/>
        <w:spacing w:after="120"/>
        <w:ind w:left="1021" w:firstLine="0"/>
      </w:pPr>
      <w:r w:rsidRPr="00483287">
        <w:t>Термин "вязкость</w:t>
      </w:r>
      <w:proofErr w:type="gramStart"/>
      <w:r w:rsidRPr="00483287">
        <w:t xml:space="preserve"> В</w:t>
      </w:r>
      <w:proofErr w:type="gramEnd"/>
      <w:r w:rsidRPr="00483287">
        <w:t>" означает кинематическую вязкость при температуре 50 °C, измеряемую в 0,000001 м</w:t>
      </w:r>
      <w:r w:rsidRPr="00483287">
        <w:rPr>
          <w:vertAlign w:val="superscript"/>
        </w:rPr>
        <w:t>2</w:t>
      </w:r>
      <w:r w:rsidRPr="00483287">
        <w:t xml:space="preserve">/с по методу EN ISO 3104. </w:t>
      </w:r>
    </w:p>
    <w:p w:rsidR="00483287" w:rsidRPr="00483287" w:rsidRDefault="00483287" w:rsidP="00483287">
      <w:pPr>
        <w:pStyle w:val="ab"/>
        <w:widowControl/>
        <w:spacing w:after="120"/>
        <w:ind w:left="1021" w:firstLine="0"/>
      </w:pPr>
      <w:r w:rsidRPr="00483287">
        <w:t xml:space="preserve">Термин "колориметрическая характеристика в растворе К" означает цвет продукта, определенный по методу </w:t>
      </w:r>
      <w:r w:rsidRPr="00483287">
        <w:rPr>
          <w:lang w:val="en-US"/>
        </w:rPr>
        <w:t>ISO </w:t>
      </w:r>
      <w:r w:rsidRPr="00483287">
        <w:t xml:space="preserve">2049 (эквивалентному методу ASTM D 1500) после того, как одну часть (по объему) продукта смешивают с 100 частями (по объему) </w:t>
      </w:r>
      <w:r w:rsidR="008E564E" w:rsidRPr="008E564E">
        <w:t>ксилола, толуола или другого подходящего растворителя</w:t>
      </w:r>
      <w:bookmarkStart w:id="0" w:name="_GoBack"/>
      <w:bookmarkEnd w:id="0"/>
      <w:r w:rsidRPr="00483287">
        <w:t xml:space="preserve">. Цвет следует определять немедленно после образования раствора. </w:t>
      </w:r>
    </w:p>
    <w:p w:rsidR="00483287" w:rsidRPr="00483287" w:rsidRDefault="00483287" w:rsidP="00483287">
      <w:pPr>
        <w:pStyle w:val="ab"/>
        <w:widowControl/>
        <w:spacing w:after="120"/>
        <w:ind w:left="1021" w:firstLine="0"/>
      </w:pPr>
      <w:proofErr w:type="spellStart"/>
      <w:r w:rsidRPr="00483287">
        <w:t>Подсубпозиции</w:t>
      </w:r>
      <w:proofErr w:type="spellEnd"/>
      <w:r w:rsidRPr="00483287">
        <w:t xml:space="preserve"> 2710 19</w:t>
      </w:r>
      <w:r w:rsidR="00DB0AEB">
        <w:t> </w:t>
      </w:r>
      <w:r w:rsidRPr="00483287">
        <w:t>510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19 680 и 2710 20</w:t>
      </w:r>
      <w:r w:rsidR="00DB0AEB">
        <w:t> </w:t>
      </w:r>
      <w:r w:rsidRPr="00483287">
        <w:t>310</w:t>
      </w:r>
      <w:r w:rsidR="00DB0AEB" w:rsidRPr="00DB0AEB">
        <w:t xml:space="preserve"> </w:t>
      </w:r>
      <w:r w:rsidRPr="00483287">
        <w:t>–</w:t>
      </w:r>
      <w:r w:rsidR="00DB0AEB" w:rsidRPr="00DB0AEB">
        <w:t xml:space="preserve"> </w:t>
      </w:r>
      <w:r w:rsidRPr="00483287">
        <w:t>2710 20 390 включают только жидкие топлива естественной окраски.</w:t>
      </w:r>
    </w:p>
    <w:p w:rsidR="00483287" w:rsidRPr="00483287" w:rsidRDefault="00483287" w:rsidP="00483287">
      <w:pPr>
        <w:pStyle w:val="ab"/>
        <w:widowControl/>
        <w:spacing w:after="120"/>
        <w:ind w:left="1021" w:firstLine="0"/>
      </w:pPr>
      <w:r w:rsidRPr="00483287">
        <w:t xml:space="preserve">Эти </w:t>
      </w:r>
      <w:proofErr w:type="spellStart"/>
      <w:r w:rsidRPr="00483287">
        <w:t>подсубпозиции</w:t>
      </w:r>
      <w:proofErr w:type="spellEnd"/>
      <w:r w:rsidRPr="00483287">
        <w:t xml:space="preserve"> не включают тяжелые дистилляты, определенные выше в пункте (г), для которых невозможно определить: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t>–</w:t>
      </w:r>
      <w:r w:rsidRPr="00483287">
        <w:tab/>
        <w:t>процентное содержание (нулевой выход следует рассматривать как нулевой процент) количества отогнанного продукта при температуре 250 °C по методу ISO 3405 (эквивалентному методу ASTM D 86);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t>–</w:t>
      </w:r>
      <w:r w:rsidRPr="00483287">
        <w:tab/>
        <w:t>кинематическую вязкость при температуре 50 °C по методу EN ISO 3104; или</w:t>
      </w:r>
    </w:p>
    <w:p w:rsidR="00483287" w:rsidRPr="00483287" w:rsidRDefault="00483287" w:rsidP="00483287">
      <w:pPr>
        <w:pStyle w:val="a9"/>
        <w:widowControl/>
        <w:spacing w:after="120"/>
        <w:ind w:left="1475" w:hanging="454"/>
      </w:pPr>
      <w:r w:rsidRPr="00483287">
        <w:lastRenderedPageBreak/>
        <w:t>–</w:t>
      </w:r>
      <w:r w:rsidRPr="00483287">
        <w:tab/>
        <w:t>колориметрическую характеристику</w:t>
      </w:r>
      <w:proofErr w:type="gramStart"/>
      <w:r w:rsidRPr="00483287">
        <w:t xml:space="preserve"> К</w:t>
      </w:r>
      <w:proofErr w:type="gramEnd"/>
      <w:r w:rsidRPr="00483287">
        <w:t xml:space="preserve"> по методу </w:t>
      </w:r>
      <w:r w:rsidRPr="00483287">
        <w:rPr>
          <w:lang w:val="en-US"/>
        </w:rPr>
        <w:t>ISO </w:t>
      </w:r>
      <w:r w:rsidRPr="00483287">
        <w:t>2049 (эквивалентному методу ASTM D 1500</w:t>
      </w:r>
      <w:r w:rsidR="00F61CBD" w:rsidRPr="00F61CBD">
        <w:t>)</w:t>
      </w:r>
      <w:r w:rsidRPr="00483287">
        <w:t>.</w:t>
      </w:r>
    </w:p>
    <w:p w:rsidR="00483287" w:rsidRPr="00483287" w:rsidRDefault="00483287" w:rsidP="00483287">
      <w:pPr>
        <w:pStyle w:val="ab"/>
        <w:widowControl/>
        <w:spacing w:after="120"/>
        <w:ind w:left="1021" w:firstLine="0"/>
      </w:pPr>
      <w:r w:rsidRPr="00483287">
        <w:t xml:space="preserve">Такие продукты включаются в </w:t>
      </w:r>
      <w:proofErr w:type="spellStart"/>
      <w:r w:rsidRPr="00483287">
        <w:t>подсубпозиции</w:t>
      </w:r>
      <w:proofErr w:type="spellEnd"/>
      <w:r w:rsidRPr="00483287">
        <w:t xml:space="preserve"> 2710 19 710</w:t>
      </w:r>
      <w:r w:rsidR="00DB0AEB" w:rsidRPr="00DB0AEB">
        <w:t xml:space="preserve"> </w:t>
      </w:r>
      <w:r w:rsidRPr="00483287">
        <w:t>– 2710 19 980 или 2710 20 900.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3.</w:t>
      </w:r>
      <w:r w:rsidRPr="00483287">
        <w:tab/>
        <w:t>В товарной позиции 2712 термин "сырой нефтяной вазелин" (</w:t>
      </w:r>
      <w:proofErr w:type="spellStart"/>
      <w:r w:rsidRPr="00483287">
        <w:t>подсубпозиция</w:t>
      </w:r>
      <w:proofErr w:type="spellEnd"/>
      <w:r w:rsidRPr="00483287">
        <w:t xml:space="preserve"> 2712 10 100) означает нефтяной вазелин с колориметрическими характеристиками для естественной окраски более 4,5 по методу </w:t>
      </w:r>
      <w:r w:rsidRPr="00483287">
        <w:rPr>
          <w:lang w:val="en-US"/>
        </w:rPr>
        <w:t>ISO </w:t>
      </w:r>
      <w:r w:rsidRPr="00483287">
        <w:t>2049 (эквивалентному методу ASTM D 1500).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4.</w:t>
      </w:r>
      <w:r w:rsidRPr="00483287">
        <w:tab/>
        <w:t xml:space="preserve">В </w:t>
      </w:r>
      <w:proofErr w:type="spellStart"/>
      <w:r w:rsidRPr="00483287">
        <w:t>подсубпозициях</w:t>
      </w:r>
      <w:proofErr w:type="spellEnd"/>
      <w:r w:rsidRPr="00483287">
        <w:t xml:space="preserve"> 2712 90 310 – 2712 90 390 термин "сырой" применяется к продуктам: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(а)</w:t>
      </w:r>
      <w:r w:rsidRPr="00483287">
        <w:tab/>
        <w:t>с содержанием нефтяных фракций 3,5 </w:t>
      </w:r>
      <w:proofErr w:type="spellStart"/>
      <w:r w:rsidRPr="00483287">
        <w:t>мас</w:t>
      </w:r>
      <w:proofErr w:type="spellEnd"/>
      <w:r w:rsidRPr="00483287">
        <w:t>.% или более, если их вязкость при температуре 100 °C менее 0,000009 м</w:t>
      </w:r>
      <w:proofErr w:type="gramStart"/>
      <w:r w:rsidRPr="00483287">
        <w:rPr>
          <w:vertAlign w:val="superscript"/>
        </w:rPr>
        <w:t>2</w:t>
      </w:r>
      <w:proofErr w:type="gramEnd"/>
      <w:r w:rsidRPr="00483287">
        <w:t xml:space="preserve">/с по методу EN ISO 3104; или 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(б)</w:t>
      </w:r>
      <w:r w:rsidRPr="00483287">
        <w:tab/>
        <w:t xml:space="preserve">с колориметрическими характеристиками для естественной окраски более 3 по методу </w:t>
      </w:r>
      <w:r w:rsidRPr="00483287">
        <w:rPr>
          <w:lang w:val="en-US"/>
        </w:rPr>
        <w:t>ISO </w:t>
      </w:r>
      <w:r w:rsidRPr="00483287">
        <w:t>2049 (эквивалентному методу ASTM D 1500), если их вязкость при температуре 100 °C равна 0,000009 м</w:t>
      </w:r>
      <w:proofErr w:type="gramStart"/>
      <w:r w:rsidRPr="00483287">
        <w:rPr>
          <w:vertAlign w:val="superscript"/>
        </w:rPr>
        <w:t>2</w:t>
      </w:r>
      <w:proofErr w:type="gramEnd"/>
      <w:r w:rsidRPr="00483287">
        <w:t>/с или более по методу EN ISO 3104.</w:t>
      </w:r>
    </w:p>
    <w:p w:rsidR="00483287" w:rsidRPr="00483287" w:rsidRDefault="00483287" w:rsidP="00483287">
      <w:pPr>
        <w:spacing w:after="120" w:line="240" w:lineRule="auto"/>
        <w:ind w:left="454" w:hanging="454"/>
        <w:jc w:val="both"/>
      </w:pPr>
      <w:r w:rsidRPr="00483287">
        <w:t>5.</w:t>
      </w:r>
      <w:r w:rsidRPr="00483287">
        <w:tab/>
        <w:t>В товарных позициях 2710, 2711 и 2712 термин "специфический процесс" применяется к следующим процессам: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(а)</w:t>
      </w:r>
      <w:r w:rsidRPr="00483287">
        <w:tab/>
        <w:t>вакуумная дистилляция;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(б)</w:t>
      </w:r>
      <w:r w:rsidRPr="00483287">
        <w:tab/>
        <w:t>процесс вторичной перегонки с тщательным фракционированием;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(в)</w:t>
      </w:r>
      <w:r w:rsidRPr="00483287">
        <w:tab/>
        <w:t>крекинг;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(г)</w:t>
      </w:r>
      <w:r w:rsidRPr="00483287">
        <w:tab/>
      </w:r>
      <w:proofErr w:type="spellStart"/>
      <w:r w:rsidRPr="00483287">
        <w:t>риформинг</w:t>
      </w:r>
      <w:proofErr w:type="spellEnd"/>
      <w:r w:rsidRPr="00483287">
        <w:t>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(д)</w:t>
      </w:r>
      <w:r w:rsidRPr="00483287">
        <w:tab/>
        <w:t>экстракция селективными растворителями;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(е)</w:t>
      </w:r>
      <w:r w:rsidRPr="00483287">
        <w:tab/>
        <w:t>процесс, включающий все следующие операции: обработка концентрированной серной кислотой, олеумом или серным ангидридом; нейтрализация щелочными агентами; обесцвечивание (отбеливание) и очистка природными активными землями, активированным углем или бокситом;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(ж)</w:t>
      </w:r>
      <w:r w:rsidRPr="00483287">
        <w:tab/>
        <w:t>полимеризация;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(з)</w:t>
      </w:r>
      <w:r w:rsidRPr="00483287">
        <w:tab/>
      </w:r>
      <w:proofErr w:type="spellStart"/>
      <w:r w:rsidRPr="00483287">
        <w:t>алкилирование</w:t>
      </w:r>
      <w:proofErr w:type="spellEnd"/>
      <w:r w:rsidRPr="00483287">
        <w:t>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(и)</w:t>
      </w:r>
      <w:r w:rsidRPr="00483287">
        <w:tab/>
        <w:t>изомеризация;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(к)</w:t>
      </w:r>
      <w:r w:rsidRPr="00483287">
        <w:tab/>
      </w:r>
      <w:proofErr w:type="spellStart"/>
      <w:r w:rsidRPr="00483287">
        <w:t>обессеривание</w:t>
      </w:r>
      <w:proofErr w:type="spellEnd"/>
      <w:r w:rsidRPr="00483287">
        <w:t xml:space="preserve"> с применением водорода, приводящее к </w:t>
      </w:r>
      <w:proofErr w:type="gramStart"/>
      <w:r w:rsidRPr="00483287">
        <w:t>восстановлению</w:t>
      </w:r>
      <w:proofErr w:type="gramEnd"/>
      <w:r w:rsidRPr="00483287">
        <w:t xml:space="preserve"> по меньшей мере 85% серы, содержащейся в обрабатываемых продуктах (методы EN ISO 20846, EN ISO 20884 или EN ISO 14596, или EN ISO 24260, EN ISO 20847 и EN ISO 8754) (только в отношении продуктов </w:t>
      </w:r>
      <w:proofErr w:type="spellStart"/>
      <w:r w:rsidRPr="00483287">
        <w:t>подсубпозиций</w:t>
      </w:r>
      <w:proofErr w:type="spellEnd"/>
      <w:r w:rsidRPr="00483287">
        <w:t xml:space="preserve"> 2710 19 310 – 2710 19 980);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(л)</w:t>
      </w:r>
      <w:r w:rsidRPr="00483287">
        <w:tab/>
      </w:r>
      <w:proofErr w:type="spellStart"/>
      <w:r w:rsidRPr="00483287">
        <w:t>депарафинизация</w:t>
      </w:r>
      <w:proofErr w:type="spellEnd"/>
      <w:r w:rsidRPr="00483287">
        <w:t xml:space="preserve"> любым процессом, отличным от процесса фильтрации (только в отношении продуктов товарной позиции 2710);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(м)</w:t>
      </w:r>
      <w:r w:rsidRPr="00483287">
        <w:tab/>
        <w:t xml:space="preserve">обработка водородом при давлении более 20 бар и температуре более 250 °C с использованием катализатора (кроме катализаторов </w:t>
      </w:r>
      <w:proofErr w:type="spellStart"/>
      <w:r w:rsidRPr="00483287">
        <w:t>обессеривания</w:t>
      </w:r>
      <w:proofErr w:type="spellEnd"/>
      <w:r w:rsidRPr="00483287">
        <w:t xml:space="preserve">) (только в отношении продуктов </w:t>
      </w:r>
      <w:proofErr w:type="spellStart"/>
      <w:r w:rsidRPr="00483287">
        <w:t>подсубпозиций</w:t>
      </w:r>
      <w:proofErr w:type="spellEnd"/>
      <w:r w:rsidRPr="00483287">
        <w:t xml:space="preserve"> </w:t>
      </w:r>
      <w:r w:rsidRPr="00483287">
        <w:lastRenderedPageBreak/>
        <w:t xml:space="preserve">2710 19 310 – 2710 19 980), если водород действует как активный участник химических реакций. Дальнейшая обработка водородом смазочных масел из </w:t>
      </w:r>
      <w:proofErr w:type="spellStart"/>
      <w:r w:rsidRPr="00483287">
        <w:t>подсубпозиций</w:t>
      </w:r>
      <w:proofErr w:type="spellEnd"/>
      <w:r w:rsidRPr="00483287">
        <w:t xml:space="preserve"> 2710 19 710 – 2710 19 980 (например, гидроочистка или обесцвечивание), в частности, для улучшения цвета или стабильности, не относится к специфическим процессам;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(н)</w:t>
      </w:r>
      <w:r w:rsidRPr="00483287">
        <w:tab/>
        <w:t>перегонка при атмосферном давлении при условии, что менее 30 об</w:t>
      </w:r>
      <w:proofErr w:type="gramStart"/>
      <w:r w:rsidRPr="00483287">
        <w:t>.</w:t>
      </w:r>
      <w:proofErr w:type="gramEnd"/>
      <w:r w:rsidRPr="00483287">
        <w:t xml:space="preserve">% </w:t>
      </w:r>
      <w:proofErr w:type="gramStart"/>
      <w:r w:rsidRPr="00483287">
        <w:t>э</w:t>
      </w:r>
      <w:proofErr w:type="gramEnd"/>
      <w:r w:rsidRPr="00483287">
        <w:t xml:space="preserve">тих продуктов (включая потери) перегоняется при температуре 300 °C по методу ISO 3405 (эквивалентному методу ASTM D 86) (только для продуктов </w:t>
      </w:r>
      <w:proofErr w:type="spellStart"/>
      <w:r w:rsidRPr="00483287">
        <w:t>подсубпозиций</w:t>
      </w:r>
      <w:proofErr w:type="spellEnd"/>
      <w:r w:rsidRPr="00483287">
        <w:t xml:space="preserve"> 2710 19 510 – 2710 19 680);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(о)</w:t>
      </w:r>
      <w:r w:rsidRPr="00483287">
        <w:tab/>
        <w:t xml:space="preserve">обработка высокочастотным электрическим разрядом (только для продуктов </w:t>
      </w:r>
      <w:proofErr w:type="spellStart"/>
      <w:r w:rsidRPr="00483287">
        <w:t>подсубпозиций</w:t>
      </w:r>
      <w:proofErr w:type="spellEnd"/>
      <w:r w:rsidRPr="00483287">
        <w:t xml:space="preserve"> 2710 19 710 – 2710 19 980);</w:t>
      </w:r>
    </w:p>
    <w:p w:rsidR="00483287" w:rsidRPr="00483287" w:rsidRDefault="00483287" w:rsidP="00483287">
      <w:pPr>
        <w:pStyle w:val="a8"/>
        <w:spacing w:after="120"/>
        <w:ind w:left="908" w:hanging="454"/>
      </w:pPr>
      <w:r w:rsidRPr="00483287">
        <w:t>(п)</w:t>
      </w:r>
      <w:r w:rsidRPr="00483287">
        <w:tab/>
        <w:t xml:space="preserve">исключительно для продуктов </w:t>
      </w:r>
      <w:proofErr w:type="spellStart"/>
      <w:r w:rsidRPr="00483287">
        <w:t>подсубпозиции</w:t>
      </w:r>
      <w:proofErr w:type="spellEnd"/>
      <w:r w:rsidRPr="00483287">
        <w:t xml:space="preserve"> 2712 90 310: обезжиривание путем дробной кристаллизации.</w:t>
      </w:r>
    </w:p>
    <w:p w:rsidR="00483287" w:rsidRPr="00483287" w:rsidRDefault="00483287" w:rsidP="00483287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A41E4F" w:rsidRPr="00483287" w:rsidTr="00A41E4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41E4F" w:rsidRPr="00483287" w:rsidRDefault="00A41E4F" w:rsidP="00483287">
            <w:pPr>
              <w:keepNext/>
              <w:spacing w:after="0" w:line="240" w:lineRule="auto"/>
              <w:jc w:val="center"/>
            </w:pPr>
            <w:r w:rsidRPr="00483287">
              <w:t>Код</w:t>
            </w:r>
            <w:r w:rsidRPr="0048328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41E4F" w:rsidRPr="00483287" w:rsidRDefault="00A41E4F" w:rsidP="00483287">
            <w:pPr>
              <w:keepNext/>
              <w:spacing w:after="0" w:line="240" w:lineRule="auto"/>
              <w:jc w:val="center"/>
            </w:pPr>
            <w:r w:rsidRPr="0048328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A41E4F" w:rsidRPr="00483287" w:rsidRDefault="00A41E4F" w:rsidP="00483287">
            <w:pPr>
              <w:keepNext/>
              <w:spacing w:after="0" w:line="240" w:lineRule="auto"/>
              <w:jc w:val="center"/>
            </w:pPr>
            <w:r w:rsidRPr="00483287">
              <w:t>Доп.</w:t>
            </w:r>
            <w:r w:rsidRPr="00483287">
              <w:br/>
              <w:t>ед.</w:t>
            </w:r>
            <w:r w:rsidRPr="00483287">
              <w:br/>
              <w:t>изм.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Уголь каменный; брикеты, окатыши и аналогичные виды твердого топлива, полученные из каменного угля: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 xml:space="preserve">– уголь каменный, пылевидный или </w:t>
            </w:r>
            <w:proofErr w:type="spellStart"/>
            <w:r w:rsidRPr="00483287">
              <w:t>непылевидный</w:t>
            </w:r>
            <w:proofErr w:type="spellEnd"/>
            <w:r w:rsidRPr="00483287">
              <w:t>, но не агломерированный: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2701 11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антрацит: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предельным выходом летучих веществ (в пересчете на сухую беззольную основу) не более 10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уголь битуминозный: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уголь коксующийся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уголь 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брикеты, окатыши и аналогичные виды твердого топлива, полученные из каменного угля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 xml:space="preserve">Лигнит, или бурый уголь, агломерированный или </w:t>
            </w:r>
            <w:proofErr w:type="spellStart"/>
            <w:r w:rsidRPr="00483287">
              <w:t>неагломерированный</w:t>
            </w:r>
            <w:proofErr w:type="spellEnd"/>
            <w:r w:rsidRPr="00483287">
              <w:t>, кроме гагата: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 xml:space="preserve">– лигнит, или бурый уголь, пылевидный или </w:t>
            </w:r>
            <w:proofErr w:type="spellStart"/>
            <w:r w:rsidRPr="00483287">
              <w:t>непылевидный</w:t>
            </w:r>
            <w:proofErr w:type="spellEnd"/>
            <w:r w:rsidRPr="00483287">
              <w:t>, но не агломерированный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лигнит, или бурый уголь, агломерированный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 xml:space="preserve">Торф (включая торфяную крошку), агломерированный или </w:t>
            </w:r>
            <w:proofErr w:type="spellStart"/>
            <w:r w:rsidRPr="00483287">
              <w:t>неагломерированный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 xml:space="preserve">Кокс и полукокс из каменного угля, лигнита или торфа, агломерированные или </w:t>
            </w:r>
            <w:proofErr w:type="spellStart"/>
            <w:r w:rsidRPr="00483287">
              <w:t>неагломерированные</w:t>
            </w:r>
            <w:proofErr w:type="spellEnd"/>
            <w:r w:rsidRPr="00483287">
              <w:t>; уголь ретортный: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кокс и полукокс из каменного угля: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2704 00 110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производства электродов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2704 00 190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2704 00 300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кокс и полукокс из лигнита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2704 00 900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Газ каменноугольный, водяной, генераторный и аналогичные газы, кроме нефтяных газов и других газообразных углеводородов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DB0AEB">
            <w:pPr>
              <w:spacing w:after="0" w:line="240" w:lineRule="auto"/>
              <w:jc w:val="center"/>
            </w:pPr>
            <w:r w:rsidRPr="00483287">
              <w:t>1000</w:t>
            </w:r>
            <w:r>
              <w:br/>
            </w:r>
            <w:r w:rsidRPr="00483287">
              <w:t>м</w:t>
            </w:r>
            <w:r w:rsidRPr="00483287">
              <w:rPr>
                <w:vertAlign w:val="superscript"/>
              </w:rPr>
              <w:t>3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 xml:space="preserve">Смолы каменноугольные, буроугольные, торфяные и прочие минеральные смолы, обезвоженные или </w:t>
            </w:r>
            <w:proofErr w:type="spellStart"/>
            <w:r w:rsidRPr="00483287">
              <w:t>необезвоженные</w:t>
            </w:r>
            <w:proofErr w:type="spellEnd"/>
            <w:r w:rsidRPr="00483287">
              <w:t xml:space="preserve">, частично ректифицированные или </w:t>
            </w:r>
            <w:proofErr w:type="spellStart"/>
            <w:r w:rsidRPr="00483287">
              <w:t>неректифицированные</w:t>
            </w:r>
            <w:proofErr w:type="spellEnd"/>
            <w:r w:rsidRPr="00483287">
              <w:t>, включая "восстановленные" смолы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Масла и другие продукты высокотемпературной перегонки каменноугольной смолы; аналогичные продукты, в которых масса ароматических составных частей превышает массу неароматических: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2707 10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бензол: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использования в качестве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2707 20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толуол: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использования в качестве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2707 30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ксилол: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использования в качестве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нафталин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2707 50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8D0FE5">
            <w:pPr>
              <w:spacing w:after="0" w:line="240" w:lineRule="auto"/>
              <w:ind w:left="198" w:hanging="198"/>
            </w:pPr>
            <w:r w:rsidRPr="00483287">
              <w:t>– смеси ароматических углеводородов прочие, 65 об.% которых или более (включая потери) перегоняется при температуре 250 °С по методу ISO 3405 (эквивалентному методу ASTM D 86):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использования в качестве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масла креозотовые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неочищенные масла: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DB0AEB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неочищенные легкие масла, 90 об.% которых или более перегоняется при температуре до 200</w:t>
            </w:r>
            <w:proofErr w:type="gramStart"/>
            <w:r w:rsidRPr="00483287">
              <w:t> °С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</w:t>
            </w:r>
            <w:proofErr w:type="spellStart"/>
            <w:r w:rsidRPr="00483287">
              <w:t>осерненные</w:t>
            </w:r>
            <w:proofErr w:type="spellEnd"/>
            <w:r w:rsidRPr="00483287">
              <w:t xml:space="preserve"> легкие масла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основные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антрацен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фенолы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получения продуктов товарной позиции 2803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2707 99 990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proofErr w:type="gramStart"/>
            <w:r w:rsidRPr="00483287">
              <w:t>Пек и кокс пековый, полученные из каменноугольной смолы или прочих минеральных смол: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кокс пековый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Нефть сырая и нефтепродукты сырые, полученные из битуминозных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2709 00 100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газовый конденсат природный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2709 00 900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proofErr w:type="gramStart"/>
            <w:r w:rsidRPr="00483287">
              <w:t>Нефть и нефтепродукты, полученные из битуминозных пород, кроме сырых; продукты, в другом месте не поименованные или не включенные, содержащие 70 </w:t>
            </w:r>
            <w:proofErr w:type="spellStart"/>
            <w:r w:rsidRPr="00483287">
              <w:t>мас</w:t>
            </w:r>
            <w:proofErr w:type="spellEnd"/>
            <w:r w:rsidRPr="00483287">
              <w:t>.% или более нефти или нефтепродуктов, полученных из битуминозных пород, причем эти нефтепродукты являются основными составляющими продуктов; отработанные нефтепродукты: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proofErr w:type="gramStart"/>
            <w:r w:rsidRPr="00483287">
              <w:t>– нефть и нефтепродукты (кроме сырых), полученные из битуминозных пород, и продукты, в другом месте не поименованные или не включенные, содержащие 70 </w:t>
            </w:r>
            <w:proofErr w:type="spellStart"/>
            <w:r w:rsidRPr="00483287">
              <w:t>мас</w:t>
            </w:r>
            <w:proofErr w:type="spellEnd"/>
            <w:r w:rsidRPr="00483287">
              <w:t xml:space="preserve">.% или более нефти или нефтепродуктов, полученных из битуминозных пород, причем эти нефтепродукты являются основными составляющими продуктов, за исключением содержащих </w:t>
            </w:r>
            <w:proofErr w:type="spellStart"/>
            <w:r w:rsidRPr="00483287">
              <w:t>биодизель</w:t>
            </w:r>
            <w:proofErr w:type="spellEnd"/>
            <w:r w:rsidRPr="00483287">
              <w:t xml:space="preserve"> и отработанных нефтепродуктов: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легкие дистилляты и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2710 12 110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 xml:space="preserve">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2710 12 110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специальные бензины: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</w:t>
            </w:r>
            <w:proofErr w:type="spellStart"/>
            <w:r w:rsidRPr="00483287">
              <w:t>уайт</w:t>
            </w:r>
            <w:proofErr w:type="spellEnd"/>
            <w:r w:rsidRPr="00483287">
              <w:t>-спирит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бензины моторные: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бензины авиационные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прочие, с содержанием свинца: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389" w:hanging="1389"/>
            </w:pPr>
            <w:r w:rsidRPr="00483287">
              <w:t>– – – – – – – не более 0,013 г/л: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с октановым числом менее 95 (по исследовательскому методу):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786" w:hanging="1786"/>
            </w:pPr>
            <w:r w:rsidRPr="00483287">
              <w:t>– – – – – – – – – бензин автомобильный: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4" w:hanging="1984"/>
            </w:pPr>
            <w:r w:rsidRPr="00483287">
              <w:t>– – – – – – – – – – с октановым числом менее 80 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4" w:hanging="1984"/>
            </w:pPr>
            <w:r w:rsidRPr="00483287">
              <w:t>– – – – – – – – – – с октановым числом 80 или более, но менее 92 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4" w:hanging="1984"/>
            </w:pPr>
            <w:r w:rsidRPr="00483287">
              <w:t>– – – – – – – – – – с октановым числом 92 или более 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786" w:hanging="1786"/>
            </w:pPr>
            <w:r w:rsidRPr="00483287">
              <w:t>– 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с октановым числом 95 или более, но менее 98 (по 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с октановым числом 98 или более 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389" w:hanging="1389"/>
            </w:pPr>
            <w:r w:rsidRPr="00483287">
              <w:t>– – – – – – – более 0,013 г/л: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с октановым числом менее 98 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с октановым числом 98 или более (по исследовательскому методу)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1000 л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топливо бензиновое для реактивных двигателей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легкие дистилляты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средние дистилляты: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2710 19 110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 xml:space="preserve">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2710 19 110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керосин: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топливо для реактивных двигателей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тяжелые дистилляты: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газойли: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 xml:space="preserve">– 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2710 19 310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не более 0,05 </w:t>
            </w:r>
            <w:proofErr w:type="spellStart"/>
            <w:r w:rsidRPr="00483287">
              <w:t>мас</w:t>
            </w:r>
            <w:proofErr w:type="spellEnd"/>
            <w:r w:rsidRPr="00483287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389" w:hanging="1389"/>
            </w:pPr>
            <w:r w:rsidRPr="00483287">
              <w:t>– – – – – – – дизельное топливо: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летнее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зимнее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арктическое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межсезонное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587" w:hanging="1587"/>
            </w:pPr>
            <w:r w:rsidRPr="00483287">
              <w:t>– – – – 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389" w:hanging="1389"/>
            </w:pPr>
            <w:r w:rsidRPr="00483287">
              <w:t>– – – – – – – судовое топливо с температурой вспышки в закрытом тигле не ниже 61</w:t>
            </w:r>
            <w:proofErr w:type="gramStart"/>
            <w:r w:rsidRPr="00483287">
              <w:t> °С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389" w:hanging="1389"/>
            </w:pPr>
            <w:r w:rsidRPr="00483287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более 0,05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0,2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более 0,2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топлива жидкие: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 xml:space="preserve">– 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2710 19 510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2710 19 620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не более 1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2710 19 640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более 1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2710 19 660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более 2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2,8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2710 19 680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 содержанием серы более 2,8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масла смазочные; масла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 xml:space="preserve">– 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2710 19 710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моторные масла, компрессорное смазочное масло, турбинное смазочное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жидкости для гидравлических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светлые масла, вазелиновое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масло для шестерен и масло для редукторов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составы для обработки металлов, масла для смазывания форм, антикоррозионные масла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электрические изоляционные масла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2710 19 980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191" w:hanging="1191"/>
            </w:pPr>
            <w:r w:rsidRPr="00483287">
              <w:t>– – – – – – прочие смазочные масла и прочие масла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proofErr w:type="gramStart"/>
            <w:r w:rsidRPr="00483287">
              <w:t>– нефть и нефтепродукты (кроме сырых), полученные из битуминозных пород, и продукты, в другом месте не поименованные или не включенные, содержащие 70 </w:t>
            </w:r>
            <w:proofErr w:type="spellStart"/>
            <w:r w:rsidRPr="00483287">
              <w:t>мас</w:t>
            </w:r>
            <w:proofErr w:type="spellEnd"/>
            <w:r w:rsidRPr="00483287">
              <w:t xml:space="preserve">.% или более нефти или нефтепродуктов, полученных из битуминозных пород, причем эти нефтепродукты являются основными составляющими продуктов, содержащие </w:t>
            </w:r>
            <w:proofErr w:type="spellStart"/>
            <w:r w:rsidRPr="00483287">
              <w:t>биодизель</w:t>
            </w:r>
            <w:proofErr w:type="spellEnd"/>
            <w:r w:rsidRPr="00483287">
              <w:t>, за исключением отработанных нефтепродуктов: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газойли: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не более 0,05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более 0,05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0,2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более 0,2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топлива жидкие: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не более 1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более 1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2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2710 20 370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более 2 </w:t>
            </w:r>
            <w:proofErr w:type="spellStart"/>
            <w:r w:rsidRPr="00483287">
              <w:t>мас</w:t>
            </w:r>
            <w:proofErr w:type="spellEnd"/>
            <w:r w:rsidRPr="00483287">
              <w:t>.%, но не более 2,8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 содержанием серы более 2,8 </w:t>
            </w:r>
            <w:proofErr w:type="spellStart"/>
            <w:r w:rsidRPr="00483287">
              <w:t>мас</w:t>
            </w:r>
            <w:proofErr w:type="spellEnd"/>
            <w:r w:rsidRPr="00483287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 нефтепродукты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отработанные нефтепродукты: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 xml:space="preserve">– – содержащие </w:t>
            </w:r>
            <w:proofErr w:type="spellStart"/>
            <w:r w:rsidRPr="00483287">
              <w:t>полихлорбифенилы</w:t>
            </w:r>
            <w:proofErr w:type="spellEnd"/>
            <w:r w:rsidRPr="00483287">
              <w:t xml:space="preserve">, </w:t>
            </w:r>
            <w:proofErr w:type="spellStart"/>
            <w:r w:rsidRPr="00483287">
              <w:t>полихлортерфенилы</w:t>
            </w:r>
            <w:proofErr w:type="spellEnd"/>
            <w:r w:rsidRPr="00483287">
              <w:t xml:space="preserve"> или </w:t>
            </w:r>
            <w:proofErr w:type="spellStart"/>
            <w:r w:rsidRPr="00483287">
              <w:t>полибромбифенилы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2710 99 000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Газы нефтяные и углеводороды газообразные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сжиженные: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газ природный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м</w:t>
            </w:r>
            <w:r w:rsidRPr="00483287">
              <w:rPr>
                <w:vertAlign w:val="superscript"/>
              </w:rPr>
              <w:t>3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пропан: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пропан чистотой не менее 99%: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использования в качестве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 xml:space="preserve">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2711 12 910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чистотой более 90%, но менее 99%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2711 12 970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992" w:hanging="992"/>
            </w:pPr>
            <w:r w:rsidRPr="0048328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бутаны: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2711 13 300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 xml:space="preserve">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2711 13 100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для прочих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чистотой более 90%, но менее 95%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2711 13 970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этилен, пропилен, бутилен и бутадиен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в газообразном состоянии: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газ природный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м</w:t>
            </w:r>
            <w:r w:rsidRPr="00483287">
              <w:rPr>
                <w:vertAlign w:val="superscript"/>
              </w:rPr>
              <w:t>3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 xml:space="preserve">Вазелин нефтяной; парафин, воск нефтяной микрокристаллический, </w:t>
            </w:r>
            <w:proofErr w:type="spellStart"/>
            <w:r w:rsidRPr="00483287">
              <w:t>гач</w:t>
            </w:r>
            <w:proofErr w:type="spellEnd"/>
            <w:r w:rsidRPr="00483287">
              <w:t xml:space="preserve"> парафиновый, озокерит, воск буроугольный, воск торфяной, прочие минеральные воски и аналогичные продукты, полученные в результате синтеза или других процессов, окрашенные или неокрашенные: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вазелин нефтяной: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сырой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парафин с содержанием масел менее 0,75 </w:t>
            </w:r>
            <w:proofErr w:type="spellStart"/>
            <w:r w:rsidRPr="00483287">
              <w:t>мас</w:t>
            </w:r>
            <w:proofErr w:type="spellEnd"/>
            <w:r w:rsidRPr="00483287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парафин синтетический с молекулярной массой 460 и более, но не более 1560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озокерит, воск буроугольный или воск торфяной (природные продукты):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сырые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сырые: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специфических процессов переработки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 xml:space="preserve">– – – – для химических превращений в процессах, </w:t>
            </w:r>
            <w:proofErr w:type="gramStart"/>
            <w:r w:rsidRPr="00483287">
              <w:t>кроме</w:t>
            </w:r>
            <w:proofErr w:type="gramEnd"/>
            <w:r w:rsidRPr="00483287">
              <w:t xml:space="preserve"> указанных в </w:t>
            </w:r>
            <w:proofErr w:type="spellStart"/>
            <w:r w:rsidRPr="00483287">
              <w:t>подсубпозиции</w:t>
            </w:r>
            <w:proofErr w:type="spellEnd"/>
            <w:r w:rsidRPr="00483287">
              <w:t xml:space="preserve"> 2712 90 310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для прочих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595" w:hanging="595"/>
            </w:pPr>
            <w:r w:rsidRPr="00483287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смесь 1-алкенов, содержащая 80 </w:t>
            </w:r>
            <w:proofErr w:type="spellStart"/>
            <w:r w:rsidRPr="00483287">
              <w:t>мас</w:t>
            </w:r>
            <w:proofErr w:type="spellEnd"/>
            <w:r w:rsidRPr="00483287">
              <w:t>.% или более 1-алкенов с длиной углеродной цепи в 24 атома углерода и более, но не более 28 атомов углерода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2712 90 990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794" w:hanging="794"/>
            </w:pPr>
            <w:r w:rsidRPr="0048328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Кокс нефтяной, битум нефтяной и прочие остатки от переработки нефти или нефтепродуктов, полученных из битуминозных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кокс нефтяной: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</w:t>
            </w:r>
            <w:proofErr w:type="spellStart"/>
            <w:r w:rsidRPr="00483287">
              <w:t>некальцинированный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кальцинированный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lastRenderedPageBreak/>
              <w:t>2713 20 000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битум нефтяной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 остатки от переработки нефти или нефтепродуктов, полученных из битуминозных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для получения продуктов товарной позиции 2803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397" w:hanging="397"/>
            </w:pPr>
            <w:r w:rsidRPr="0048328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Битум и асфальт, природные; сланцы битуминозные или нефтеносные и песчаники битуминозные; асфальтиты и асфальтовые породы: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сланцы битуминозные или нефтеносные и песчаники битуминозные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ind w:left="198" w:hanging="198"/>
            </w:pPr>
            <w:r w:rsidRPr="0048328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Смеси битумные на основе природного асфальта, природного битума, нефтяного битума, минеральных смол или пека минеральных смол (например, битумные мастики, асфальтовые смеси для дорожных покрытий)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  <w:jc w:val="center"/>
            </w:pPr>
            <w:r w:rsidRPr="00483287">
              <w:t>–</w:t>
            </w:r>
          </w:p>
        </w:tc>
      </w:tr>
      <w:tr w:rsidR="00A41E4F" w:rsidRPr="00483287" w:rsidTr="00A41E4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2716 00 000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483287">
            <w:pPr>
              <w:spacing w:after="0" w:line="240" w:lineRule="auto"/>
            </w:pPr>
            <w:r w:rsidRPr="00483287">
              <w:t>Электроэнергия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A41E4F" w:rsidRPr="00483287" w:rsidRDefault="00A41E4F" w:rsidP="00DB0AEB">
            <w:pPr>
              <w:spacing w:after="0" w:line="240" w:lineRule="auto"/>
              <w:jc w:val="center"/>
            </w:pPr>
            <w:r w:rsidRPr="00483287">
              <w:t>1000</w:t>
            </w:r>
            <w:r>
              <w:br/>
            </w:r>
            <w:proofErr w:type="spellStart"/>
            <w:r w:rsidRPr="00483287">
              <w:t>кВт·</w:t>
            </w:r>
            <w:proofErr w:type="gramStart"/>
            <w:r w:rsidRPr="00483287">
              <w:t>ч</w:t>
            </w:r>
            <w:proofErr w:type="spellEnd"/>
            <w:proofErr w:type="gramEnd"/>
          </w:p>
        </w:tc>
      </w:tr>
    </w:tbl>
    <w:p w:rsidR="004D79F2" w:rsidRPr="00483287" w:rsidRDefault="004D79F2" w:rsidP="00483287">
      <w:pPr>
        <w:spacing w:after="0" w:line="240" w:lineRule="auto"/>
      </w:pPr>
    </w:p>
    <w:sectPr w:rsidR="004D79F2" w:rsidRPr="00483287" w:rsidSect="00483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766" w:rsidRDefault="00BD0766" w:rsidP="00614869">
      <w:pPr>
        <w:spacing w:after="0" w:line="240" w:lineRule="auto"/>
      </w:pPr>
      <w:r>
        <w:separator/>
      </w:r>
    </w:p>
  </w:endnote>
  <w:endnote w:type="continuationSeparator" w:id="0">
    <w:p w:rsidR="00BD0766" w:rsidRDefault="00BD0766" w:rsidP="0061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Default="000A1CC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Pr="00614869" w:rsidRDefault="000A1CCC" w:rsidP="00614869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Default="000A1C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766" w:rsidRDefault="00BD0766" w:rsidP="00614869">
      <w:pPr>
        <w:spacing w:after="0" w:line="240" w:lineRule="auto"/>
      </w:pPr>
      <w:r>
        <w:separator/>
      </w:r>
    </w:p>
  </w:footnote>
  <w:footnote w:type="continuationSeparator" w:id="0">
    <w:p w:rsidR="00BD0766" w:rsidRDefault="00BD0766" w:rsidP="0061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Default="000A1C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Pr="00483287" w:rsidRDefault="00483287" w:rsidP="0048328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E564E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CC" w:rsidRDefault="000A1C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69"/>
    <w:rsid w:val="00015A51"/>
    <w:rsid w:val="000242EC"/>
    <w:rsid w:val="0008077F"/>
    <w:rsid w:val="000A1CCC"/>
    <w:rsid w:val="000B6935"/>
    <w:rsid w:val="003D59C9"/>
    <w:rsid w:val="00483287"/>
    <w:rsid w:val="004C6834"/>
    <w:rsid w:val="004D79F2"/>
    <w:rsid w:val="00595564"/>
    <w:rsid w:val="00596064"/>
    <w:rsid w:val="005F78A6"/>
    <w:rsid w:val="00614869"/>
    <w:rsid w:val="0062221E"/>
    <w:rsid w:val="0079741D"/>
    <w:rsid w:val="008D0FE5"/>
    <w:rsid w:val="008E564E"/>
    <w:rsid w:val="00A41E4F"/>
    <w:rsid w:val="00A44F49"/>
    <w:rsid w:val="00BD0766"/>
    <w:rsid w:val="00C664CE"/>
    <w:rsid w:val="00D04D31"/>
    <w:rsid w:val="00D43249"/>
    <w:rsid w:val="00DB0AEB"/>
    <w:rsid w:val="00F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869"/>
    <w:rPr>
      <w:sz w:val="20"/>
    </w:rPr>
  </w:style>
  <w:style w:type="paragraph" w:styleId="a5">
    <w:name w:val="footer"/>
    <w:basedOn w:val="a"/>
    <w:link w:val="a6"/>
    <w:uiPriority w:val="99"/>
    <w:unhideWhenUsed/>
    <w:rsid w:val="00614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869"/>
    <w:rPr>
      <w:sz w:val="20"/>
    </w:rPr>
  </w:style>
  <w:style w:type="paragraph" w:customStyle="1" w:styleId="a7">
    <w:name w:val="заголовок примечания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одпункт примечания"/>
    <w:basedOn w:val="a"/>
    <w:uiPriority w:val="99"/>
    <w:rsid w:val="00483287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9">
    <w:name w:val="на тире в подпункте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a">
    <w:name w:val="е/изм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28" w:right="28"/>
      <w:jc w:val="center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абзац за подпунктом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  <w:style w:type="table" w:styleId="ac">
    <w:name w:val="Table Grid"/>
    <w:basedOn w:val="a1"/>
    <w:uiPriority w:val="59"/>
    <w:rsid w:val="00483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869"/>
    <w:rPr>
      <w:sz w:val="20"/>
    </w:rPr>
  </w:style>
  <w:style w:type="paragraph" w:styleId="a5">
    <w:name w:val="footer"/>
    <w:basedOn w:val="a"/>
    <w:link w:val="a6"/>
    <w:uiPriority w:val="99"/>
    <w:unhideWhenUsed/>
    <w:rsid w:val="00614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869"/>
    <w:rPr>
      <w:sz w:val="20"/>
    </w:rPr>
  </w:style>
  <w:style w:type="paragraph" w:customStyle="1" w:styleId="a7">
    <w:name w:val="заголовок примечания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одпункт примечания"/>
    <w:basedOn w:val="a"/>
    <w:uiPriority w:val="99"/>
    <w:rsid w:val="00483287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9">
    <w:name w:val="на тире в подпункте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a">
    <w:name w:val="е/изм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28" w:right="28"/>
      <w:jc w:val="center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абзац за подпунктом"/>
    <w:basedOn w:val="a"/>
    <w:uiPriority w:val="99"/>
    <w:rsid w:val="00483287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  <w:style w:type="table" w:styleId="ac">
    <w:name w:val="Table Grid"/>
    <w:basedOn w:val="a1"/>
    <w:uiPriority w:val="59"/>
    <w:rsid w:val="00483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2016-04-06T09:56:00Z</dcterms:created>
  <dcterms:modified xsi:type="dcterms:W3CDTF">2018-11-04T12:56:00Z</dcterms:modified>
</cp:coreProperties>
</file>