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wpsp7l7zbkir" w:id="0"/>
      <w:bookmarkEnd w:id="0"/>
      <w:r w:rsidDel="00000000" w:rsidR="00000000" w:rsidRPr="00000000">
        <w:rPr>
          <w:b w:val="1"/>
          <w:sz w:val="46"/>
          <w:szCs w:val="46"/>
          <w:rtl w:val="0"/>
        </w:rPr>
        <w:t xml:space="preserve">Base de Conhecimento: Gatilhos Mentais Aplicados à Copy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Gatilhos mentais são estímulos que influenciam decisões com base em padrões de comportamento previsíveis. No contexto do copywriting, esses gatilhos são aplicados de forma estratégica para acelerar processos de tomada de decisão, reduzindo fricções cognitivas e ampliando o poder de persuasão de mensagens. O uso técnico e ético dos gatilhos exige compreensão do estágio de consciência do público e adequação ao canal de comunicação.</w:t>
      </w:r>
    </w:p>
    <w:p w:rsidR="00000000" w:rsidDel="00000000" w:rsidP="00000000" w:rsidRDefault="00000000" w:rsidRPr="00000000" w14:paraId="00000004">
      <w:pPr>
        <w:spacing w:after="240" w:before="240" w:lineRule="auto"/>
        <w:rPr/>
      </w:pPr>
      <w:r w:rsidDel="00000000" w:rsidR="00000000" w:rsidRPr="00000000">
        <w:rPr>
          <w:rtl w:val="0"/>
        </w:rPr>
        <w:t xml:space="preserve">A aplicação eficaz depende da integração do gatilho ao argumento central da copy, evitando sobrecarga ou manipulação. Fundamentos psicológicos validados por autores como Robert Cialdini, Daniel Kahneman e outros pesquisadores da economia comportamental formam a base conceitual deste recurso.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5j5bj5dc6koh" w:id="1"/>
      <w:bookmarkEnd w:id="1"/>
      <w:r w:rsidDel="00000000" w:rsidR="00000000" w:rsidRPr="00000000">
        <w:rPr>
          <w:b w:val="1"/>
          <w:color w:val="000000"/>
          <w:sz w:val="26"/>
          <w:szCs w:val="26"/>
          <w:rtl w:val="0"/>
        </w:rPr>
        <w:t xml:space="preserve">1. Escassez</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Induz comportamento de compra ao sinalizar que o recurso disponível é limitado. Apoiado em vieses de aversão à perda.</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Anúncios, e-mails, páginas de vendas com limite de unidades ou vagas.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“Restam apenas 7 unidades em estoque.”</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Cuidado Ético</w:t>
      </w:r>
      <w:r w:rsidDel="00000000" w:rsidR="00000000" w:rsidRPr="00000000">
        <w:rPr>
          <w:rtl w:val="0"/>
        </w:rPr>
        <w:t xml:space="preserve">: A escassez deve ser real e verificável.</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5yzsnglp25yh" w:id="2"/>
      <w:bookmarkEnd w:id="2"/>
      <w:r w:rsidDel="00000000" w:rsidR="00000000" w:rsidRPr="00000000">
        <w:rPr>
          <w:b w:val="1"/>
          <w:color w:val="000000"/>
          <w:sz w:val="26"/>
          <w:szCs w:val="26"/>
          <w:rtl w:val="0"/>
        </w:rPr>
        <w:t xml:space="preserve">2. Urgência</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Gatilho temporal que pressiona pela ação imediata, baseado em prazos curtos ou condições temporárias.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Headlines, botões de CTA, contadores regressivos.</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“Oferta válida até meia-noite de hoje.”</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rtl w:val="0"/>
        </w:rPr>
        <w:t xml:space="preserve">Cuidado Ético</w:t>
      </w:r>
      <w:r w:rsidDel="00000000" w:rsidR="00000000" w:rsidRPr="00000000">
        <w:rPr>
          <w:rtl w:val="0"/>
        </w:rPr>
        <w:t xml:space="preserve">: Não utilizar urgência falsa ou renovada artificialmente.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72xo4mz0lfzf" w:id="3"/>
      <w:bookmarkEnd w:id="3"/>
      <w:r w:rsidDel="00000000" w:rsidR="00000000" w:rsidRPr="00000000">
        <w:rPr>
          <w:b w:val="1"/>
          <w:color w:val="000000"/>
          <w:sz w:val="26"/>
          <w:szCs w:val="26"/>
          <w:rtl w:val="0"/>
        </w:rPr>
        <w:t xml:space="preserve">3. Prova Social</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A tendência de agir com base no comportamento de outros. Fundamentada na validação social.</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Depoimentos, avaliações, números de usuários.</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“Mais de 200 mil pessoas já compraram este curso.”</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66ilr2nptqv3" w:id="4"/>
      <w:bookmarkEnd w:id="4"/>
      <w:r w:rsidDel="00000000" w:rsidR="00000000" w:rsidRPr="00000000">
        <w:rPr>
          <w:b w:val="1"/>
          <w:color w:val="000000"/>
          <w:sz w:val="26"/>
          <w:szCs w:val="26"/>
          <w:rtl w:val="0"/>
        </w:rPr>
        <w:t xml:space="preserve">4. Autoridade</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Atribuição de credibilidade com base na presença de especialistas, marcas reconhecidas ou validação institucional.</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Apresentação de credenciais, certificações, selos.</w:t>
        <w:br w:type="textWrapping"/>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“Recomendado pela Sociedade Brasileira de Cardiologia.”</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das2f5wvihke" w:id="5"/>
      <w:bookmarkEnd w:id="5"/>
      <w:r w:rsidDel="00000000" w:rsidR="00000000" w:rsidRPr="00000000">
        <w:rPr>
          <w:b w:val="1"/>
          <w:color w:val="000000"/>
          <w:sz w:val="26"/>
          <w:szCs w:val="26"/>
          <w:rtl w:val="0"/>
        </w:rPr>
        <w:t xml:space="preserve">5. Reciprocidade</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Tendência de retribuir algo recebido. Utilizada em estratégias de conteúdo gratuito ou bônus.</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Lead magnets, ofertas com brindes, conteúdos educativos.</w:t>
        <w:br w:type="textWrapping"/>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“Baixe o e-book gratuito e tenha acesso ao grupo exclusivo.”</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ux4fdfpnj6i" w:id="6"/>
      <w:bookmarkEnd w:id="6"/>
      <w:r w:rsidDel="00000000" w:rsidR="00000000" w:rsidRPr="00000000">
        <w:rPr>
          <w:b w:val="1"/>
          <w:color w:val="000000"/>
          <w:sz w:val="26"/>
          <w:szCs w:val="26"/>
          <w:rtl w:val="0"/>
        </w:rPr>
        <w:t xml:space="preserve">6. Afinidade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A identificação com o emissor aumenta a receptividade. Baseada em similaridade e empatia.</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Narrativas que refletem a linguagem, realidade ou valores do público.</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“Se você também trabalha de casa e sente dificuldade para manter o foco…”</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28y4jclzaby2" w:id="7"/>
      <w:bookmarkEnd w:id="7"/>
      <w:r w:rsidDel="00000000" w:rsidR="00000000" w:rsidRPr="00000000">
        <w:rPr>
          <w:b w:val="1"/>
          <w:color w:val="000000"/>
          <w:sz w:val="26"/>
          <w:szCs w:val="26"/>
          <w:rtl w:val="0"/>
        </w:rPr>
        <w:t xml:space="preserve">7. Prova</w:t>
      </w:r>
    </w:p>
    <w:p w:rsidR="00000000" w:rsidDel="00000000" w:rsidP="00000000" w:rsidRDefault="00000000" w:rsidRPr="00000000" w14:paraId="00000027">
      <w:pPr>
        <w:numPr>
          <w:ilvl w:val="0"/>
          <w:numId w:val="17"/>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Evidência de que o que está sendo prometido foi validado ou testado.</w:t>
        <w:br w:type="textWrapping"/>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Estudos de caso, prints de resultados, vídeos de uso real.</w:t>
        <w:br w:type="textWrapping"/>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“Veja como João triplicou os acessos ao site após aplicar essa técnica.”</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paadz18jgice" w:id="8"/>
      <w:bookmarkEnd w:id="8"/>
      <w:r w:rsidDel="00000000" w:rsidR="00000000" w:rsidRPr="00000000">
        <w:rPr>
          <w:b w:val="1"/>
          <w:color w:val="000000"/>
          <w:sz w:val="26"/>
          <w:szCs w:val="26"/>
          <w:rtl w:val="0"/>
        </w:rPr>
        <w:t xml:space="preserve">8. Compromisso e Consistência</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Tendência humana de agir de forma consistente com decisões ou afirmações anteriores.</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Sequências de microcompromissos, como responder enquetes ou baixar materiais antes da oferta principal.</w:t>
        <w:br w:type="textWrapping"/>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“Você baixou nosso guia gratuito. Agora, veja como aplicar o método completo.”</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zznru75vqiw" w:id="9"/>
      <w:bookmarkEnd w:id="9"/>
      <w:r w:rsidDel="00000000" w:rsidR="00000000" w:rsidRPr="00000000">
        <w:rPr>
          <w:b w:val="1"/>
          <w:color w:val="000000"/>
          <w:sz w:val="26"/>
          <w:szCs w:val="26"/>
          <w:rtl w:val="0"/>
        </w:rPr>
        <w:t xml:space="preserve">9. Antifrágil</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Exposição a falhas ou vulnerabilidades para gerar credibilidade. Reflete transparência e controle.</w:t>
        <w:br w:type="textWrapping"/>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Mencionar limitações, erros superados ou aprendizados.</w:t>
        <w:br w:type="textWrapping"/>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“Nos primeiros meses, o projeto fracassou. Só após revisar todo o modelo conseguimos escalar.”</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xz6bpahqla2b" w:id="10"/>
      <w:bookmarkEnd w:id="10"/>
      <w:r w:rsidDel="00000000" w:rsidR="00000000" w:rsidRPr="00000000">
        <w:rPr>
          <w:b w:val="1"/>
          <w:color w:val="000000"/>
          <w:sz w:val="26"/>
          <w:szCs w:val="26"/>
          <w:rtl w:val="0"/>
        </w:rPr>
        <w:t xml:space="preserve">10. Novidade</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Reação positiva do cérebro a estímulos novos, ativando mecanismos de atenção seletiva.</w:t>
        <w:br w:type="textWrapping"/>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Lançamentos, versões atualizadas, novos recursos.</w:t>
        <w:br w:type="textWrapping"/>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“Nova função integrada ao aplicativo: rastreamento em tempo real.”</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qml8crldqojr" w:id="11"/>
      <w:bookmarkEnd w:id="11"/>
      <w:r w:rsidDel="00000000" w:rsidR="00000000" w:rsidRPr="00000000">
        <w:rPr>
          <w:b w:val="1"/>
          <w:color w:val="000000"/>
          <w:sz w:val="26"/>
          <w:szCs w:val="26"/>
          <w:rtl w:val="0"/>
        </w:rPr>
        <w:t xml:space="preserve">11. Exclusividade</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A sensação de acesso privilegiado aumenta o valor percebido da oferta.</w:t>
        <w:br w:type="textWrapping"/>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Clubes fechados, convites restritos, conteúdos para membros.</w:t>
        <w:br w:type="textWrapping"/>
      </w:r>
    </w:p>
    <w:p w:rsidR="00000000" w:rsidDel="00000000" w:rsidP="00000000" w:rsidRDefault="00000000" w:rsidRPr="00000000" w14:paraId="0000003D">
      <w:pPr>
        <w:numPr>
          <w:ilvl w:val="0"/>
          <w:numId w:val="14"/>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“Convite exclusivo para membros da lista VIP.”</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lu6rom6oxwwn" w:id="12"/>
      <w:bookmarkEnd w:id="12"/>
      <w:r w:rsidDel="00000000" w:rsidR="00000000" w:rsidRPr="00000000">
        <w:rPr>
          <w:b w:val="1"/>
          <w:color w:val="000000"/>
          <w:sz w:val="26"/>
          <w:szCs w:val="26"/>
          <w:rtl w:val="0"/>
        </w:rPr>
        <w:t xml:space="preserve">12. Antecipação</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Criação de expectativa progressiva, ativando o sistema de recompensa cognitiva.</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Campanhas pré-lançamento, listas de espera, teasers.</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“Inscreva-se para ter acesso antecipado ao novo produto.”</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7hpicdaf8gn" w:id="13"/>
      <w:bookmarkEnd w:id="13"/>
      <w:r w:rsidDel="00000000" w:rsidR="00000000" w:rsidRPr="00000000">
        <w:rPr>
          <w:b w:val="1"/>
          <w:color w:val="000000"/>
          <w:sz w:val="26"/>
          <w:szCs w:val="26"/>
          <w:rtl w:val="0"/>
        </w:rPr>
        <w:t xml:space="preserve">13. Story Evidence (Evidência Narrativa)</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Uso de microhistórias com dados e contexto real que aumentam a credibilidade.</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E-mails, vídeos, posts de redes sociais com casos reais.</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“Em janeiro, Maria estava com dívidas. Em abril, após aplicar o método, zerou os débitos e criou reserva.”</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rdmgz4c65fv" w:id="14"/>
      <w:bookmarkEnd w:id="14"/>
      <w:r w:rsidDel="00000000" w:rsidR="00000000" w:rsidRPr="00000000">
        <w:rPr>
          <w:b w:val="1"/>
          <w:color w:val="000000"/>
          <w:sz w:val="26"/>
          <w:szCs w:val="26"/>
          <w:rtl w:val="0"/>
        </w:rPr>
        <w:t xml:space="preserve">14. Autorreflexão</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Estímulo à análise pessoal e confronto interno, gerando maior envolvimento cognitivo.</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Perguntas estratégicas ou descrições de situações que espelham o público.</w:t>
        <w:br w:type="textWrapping"/>
      </w:r>
    </w:p>
    <w:p w:rsidR="00000000" w:rsidDel="00000000" w:rsidP="00000000" w:rsidRDefault="00000000" w:rsidRPr="00000000" w14:paraId="0000004C">
      <w:pPr>
        <w:numPr>
          <w:ilvl w:val="0"/>
          <w:numId w:val="10"/>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“Quantas vezes você começou algo e não terminou por falta de método?”</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2ghvxz94ref8" w:id="15"/>
      <w:bookmarkEnd w:id="15"/>
      <w:r w:rsidDel="00000000" w:rsidR="00000000" w:rsidRPr="00000000">
        <w:rPr>
          <w:b w:val="1"/>
          <w:color w:val="000000"/>
          <w:sz w:val="26"/>
          <w:szCs w:val="26"/>
          <w:rtl w:val="0"/>
        </w:rPr>
        <w:t xml:space="preserve">15. Garantia</w:t>
      </w:r>
    </w:p>
    <w:p w:rsidR="00000000" w:rsidDel="00000000" w:rsidP="00000000" w:rsidRDefault="00000000" w:rsidRPr="00000000" w14:paraId="0000004F">
      <w:pPr>
        <w:numPr>
          <w:ilvl w:val="0"/>
          <w:numId w:val="19"/>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Redução do risco percebido pela oferta de devolução, reembolso ou reposição.</w:t>
        <w:br w:type="textWrapping"/>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Contratos de compra, páginas de vendas, anúncios.</w:t>
        <w:br w:type="textWrapping"/>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“Se não ficar satisfeito em 7 dias, seu dinheiro será devolvido.”</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w4if4yblm6ib" w:id="16"/>
      <w:bookmarkEnd w:id="16"/>
      <w:r w:rsidDel="00000000" w:rsidR="00000000" w:rsidRPr="00000000">
        <w:rPr>
          <w:b w:val="1"/>
          <w:color w:val="000000"/>
          <w:sz w:val="26"/>
          <w:szCs w:val="26"/>
          <w:rtl w:val="0"/>
        </w:rPr>
        <w:t xml:space="preserve">16. Curiosidade</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Ativação da lacuna de informação que leva o leitor a buscar a resposta.</w:t>
        <w:br w:type="textWrapping"/>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Headlines, introduções, thumbnails de vídeo.</w:t>
        <w:br w:type="textWrapping"/>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“O que esse empresário descobriu após perder 300 mil reais?”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5ne9mgyzb045" w:id="17"/>
      <w:bookmarkEnd w:id="17"/>
      <w:r w:rsidDel="00000000" w:rsidR="00000000" w:rsidRPr="00000000">
        <w:rPr>
          <w:b w:val="1"/>
          <w:color w:val="000000"/>
          <w:sz w:val="26"/>
          <w:szCs w:val="26"/>
          <w:rtl w:val="0"/>
        </w:rPr>
        <w:t xml:space="preserve">17. Inversão de Risco</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Transferência do risco da decisão para a empresa, diminuindo a resistência à compra.</w:t>
        <w:br w:type="textWrapping"/>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Garantias condicionadas a resultado.</w:t>
        <w:br w:type="textWrapping"/>
      </w:r>
    </w:p>
    <w:p w:rsidR="00000000" w:rsidDel="00000000" w:rsidP="00000000" w:rsidRDefault="00000000" w:rsidRPr="00000000" w14:paraId="0000005B">
      <w:pPr>
        <w:numPr>
          <w:ilvl w:val="0"/>
          <w:numId w:val="18"/>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“Se em 30 dias você não aumentar suas vendas, pagamos a diferença.”</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e1qcb8dux864" w:id="18"/>
      <w:bookmarkEnd w:id="18"/>
      <w:r w:rsidDel="00000000" w:rsidR="00000000" w:rsidRPr="00000000">
        <w:rPr>
          <w:b w:val="1"/>
          <w:color w:val="000000"/>
          <w:sz w:val="26"/>
          <w:szCs w:val="26"/>
          <w:rtl w:val="0"/>
        </w:rPr>
        <w:t xml:space="preserve">18. Comparação</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b w:val="1"/>
          <w:rtl w:val="0"/>
        </w:rPr>
        <w:t xml:space="preserve">Descrição Técnica</w:t>
      </w:r>
      <w:r w:rsidDel="00000000" w:rsidR="00000000" w:rsidRPr="00000000">
        <w:rPr>
          <w:rtl w:val="0"/>
        </w:rPr>
        <w:t xml:space="preserve">: Exposição de contrastes para destacar valor ou superioridade de uma oferta.</w:t>
        <w:br w:type="textWrapping"/>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b w:val="1"/>
          <w:rtl w:val="0"/>
        </w:rPr>
        <w:t xml:space="preserve">Aplicação em Copy</w:t>
      </w:r>
      <w:r w:rsidDel="00000000" w:rsidR="00000000" w:rsidRPr="00000000">
        <w:rPr>
          <w:rtl w:val="0"/>
        </w:rPr>
        <w:t xml:space="preserve">: Tabelas comparativas, análises lado a lado.</w:t>
        <w:br w:type="textWrapping"/>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b w:val="1"/>
          <w:rtl w:val="0"/>
        </w:rPr>
        <w:t xml:space="preserve">Exemplo Real</w:t>
      </w:r>
      <w:r w:rsidDel="00000000" w:rsidR="00000000" w:rsidRPr="00000000">
        <w:rPr>
          <w:rtl w:val="0"/>
        </w:rPr>
        <w:t xml:space="preserve">: “Plano tradicional: R$ 499/mês. Nosso plano: R$ 149/mês com os mesmos benefícios.”</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sz w:val="34"/>
          <w:szCs w:val="34"/>
        </w:rPr>
      </w:pPr>
      <w:bookmarkStart w:colFirst="0" w:colLast="0" w:name="_p6pf48nl0yo1" w:id="19"/>
      <w:bookmarkEnd w:id="19"/>
      <w:r w:rsidDel="00000000" w:rsidR="00000000" w:rsidRPr="00000000">
        <w:rPr>
          <w:b w:val="1"/>
          <w:sz w:val="34"/>
          <w:szCs w:val="34"/>
          <w:rtl w:val="0"/>
        </w:rPr>
        <w:t xml:space="preserve">Recomendações Estratégicas</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b w:val="1"/>
          <w:rtl w:val="0"/>
        </w:rPr>
        <w:t xml:space="preserve">Use apenas quando o contexto justificar</w:t>
        <w:br w:type="textWrapping"/>
      </w:r>
      <w:r w:rsidDel="00000000" w:rsidR="00000000" w:rsidRPr="00000000">
        <w:rPr>
          <w:rtl w:val="0"/>
        </w:rPr>
        <w:t xml:space="preserve"> A escolha do gatilho deve ser compatível com o objetivo, o canal e o estágio do público na jornada de compra.</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b w:val="1"/>
          <w:rtl w:val="0"/>
        </w:rPr>
        <w:t xml:space="preserve">Evite sobreposição de gatilhos</w:t>
        <w:br w:type="textWrapping"/>
      </w:r>
      <w:r w:rsidDel="00000000" w:rsidR="00000000" w:rsidRPr="00000000">
        <w:rPr>
          <w:rtl w:val="0"/>
        </w:rPr>
        <w:t xml:space="preserve"> Usar vários gatilhos simultaneamente pode reduzir a eficácia. Priorize os mais adequados ao formato e à mensagem.</w:t>
        <w:br w:type="textWrapping"/>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b w:val="1"/>
          <w:rtl w:val="0"/>
        </w:rPr>
        <w:t xml:space="preserve">Preserve a integridade da informação</w:t>
        <w:br w:type="textWrapping"/>
      </w:r>
      <w:r w:rsidDel="00000000" w:rsidR="00000000" w:rsidRPr="00000000">
        <w:rPr>
          <w:rtl w:val="0"/>
        </w:rPr>
        <w:t xml:space="preserve"> Não simule escassez, urgência ou provas. Gatilhos mentais são mecanismos de apoio à decisão, não substitutos da verdade.</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