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mx7fzwnc9u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Técnicas Avançadas de Persuasão com Neurocopy e Psicologia da Decisão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como o cérebro humano decide é essencial para criar copywriting que realmente funcione. Autores como </w:t>
      </w:r>
      <w:r w:rsidDel="00000000" w:rsidR="00000000" w:rsidRPr="00000000">
        <w:rPr>
          <w:b w:val="1"/>
          <w:rtl w:val="0"/>
        </w:rPr>
        <w:t xml:space="preserve">Robert Cialdini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Daniel Kahneman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Martin Lindstrom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BJ Fogg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Rory Sutherland</w:t>
      </w:r>
      <w:r w:rsidDel="00000000" w:rsidR="00000000" w:rsidRPr="00000000">
        <w:rPr>
          <w:rtl w:val="0"/>
        </w:rPr>
        <w:t xml:space="preserve"> provaram que grande parte das decisões é tomada com base em vieses, contexto e emoções — e não em lógica pura. Esta base traduz essas descobertas em aplicações práticas para copywriting de alta conversão.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98762xjxe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Princípios Psicológicos Fundamentais Aplicados à Copy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Viés de Ancoragem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Daniel Kahneman (e Amos Tversky)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Explicação</w:t>
      </w:r>
      <w:r w:rsidDel="00000000" w:rsidR="00000000" w:rsidRPr="00000000">
        <w:rPr>
          <w:rtl w:val="0"/>
        </w:rPr>
        <w:t xml:space="preserve">: A primeira informação recebida influencia como as demais são percebidas.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Mostrar preço cheio antes do desconto ou resultados altos antes de apresentar a solução.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Campanhas da AppSumo listam o preço original ($499) antes do valor com desconto ($49), ancorando a percepção de valor.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Aversão à perda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Kahneman e Tversky – Prospect Theory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Explicação</w:t>
      </w:r>
      <w:r w:rsidDel="00000000" w:rsidR="00000000" w:rsidRPr="00000000">
        <w:rPr>
          <w:rtl w:val="0"/>
        </w:rPr>
        <w:t xml:space="preserve">: A dor de perder é duas vezes mais forte que o prazer de ganhar.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“Você está deixando R$2.000/ano na mesa por não usar esse recurso.”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Campanhas de remarketing da HubSpot usam frases como “Você ainda pode recuperar os leads que perdeu ontem”.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Prova Social / Escassez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Robert Cialdini – </w:t>
      </w:r>
      <w:r w:rsidDel="00000000" w:rsidR="00000000" w:rsidRPr="00000000">
        <w:rPr>
          <w:i w:val="1"/>
          <w:rtl w:val="0"/>
        </w:rPr>
        <w:t xml:space="preserve">Influence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Explicação</w:t>
      </w:r>
      <w:r w:rsidDel="00000000" w:rsidR="00000000" w:rsidRPr="00000000">
        <w:rPr>
          <w:rtl w:val="0"/>
        </w:rPr>
        <w:t xml:space="preserve">: Pessoas seguem o comportamento da maioria, principalmente em momentos de incerteza.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“Mais de 23 mil pessoas já acessaram essa página hoje.”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Anúncios de lançamento da Hotmart com contador de acessos e comentários ao vivo.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Framing / Reenquadramento de Valor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Rory Sutherland – </w:t>
      </w:r>
      <w:r w:rsidDel="00000000" w:rsidR="00000000" w:rsidRPr="00000000">
        <w:rPr>
          <w:i w:val="1"/>
          <w:rtl w:val="0"/>
        </w:rPr>
        <w:t xml:space="preserve">Alchemy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Explicação</w:t>
      </w:r>
      <w:r w:rsidDel="00000000" w:rsidR="00000000" w:rsidRPr="00000000">
        <w:rPr>
          <w:rtl w:val="0"/>
        </w:rPr>
        <w:t xml:space="preserve">: O valor percebido muda conforme a forma como a proposta é apresentada.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“Por menos que um café por dia, você tem acesso a todo o conteúdo.”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VSL de Alex Hormozi usa framing financeiro: "$100 mil em consultoria entregues por $100".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Substituição Afetiva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Martin Lindstrom – </w:t>
      </w:r>
      <w:r w:rsidDel="00000000" w:rsidR="00000000" w:rsidRPr="00000000">
        <w:rPr>
          <w:i w:val="1"/>
          <w:rtl w:val="0"/>
        </w:rPr>
        <w:t xml:space="preserve">Buyology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Explicação</w:t>
      </w:r>
      <w:r w:rsidDel="00000000" w:rsidR="00000000" w:rsidRPr="00000000">
        <w:rPr>
          <w:rtl w:val="0"/>
        </w:rPr>
        <w:t xml:space="preserve">: O cérebro substitui perguntas racionais por respostas emocionais acessíveis.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Apelar para sensações, pertencer ou experiências, em vez de lógica técnica.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Campanhas da Apple priorizam sensação e identidade (“Think different”) em vez de especificações técnicas.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6ter06vhqi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Técnicas de Neurocopywriting Validadas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Espelhamento emocional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Neurociência da empatia (Lindstrom, espelhamento de linguagem emocional)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Repetir as palavras do público nos títulos e leads.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Pedro Sobral usa termos de alunos como “travado”, “sem saber o que postar” diretamente nos ganchos.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Escrita sensorial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Estudos de neuromarketing sensorial (Lindstrom – </w:t>
      </w:r>
      <w:r w:rsidDel="00000000" w:rsidR="00000000" w:rsidRPr="00000000">
        <w:rPr>
          <w:i w:val="1"/>
          <w:rtl w:val="0"/>
        </w:rPr>
        <w:t xml:space="preserve">Buyology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Ativar sentidos no texto: "o som da notificação que muda sua manhã".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Campanhas da Starbucks usam copy sensorial (“O aroma que começa seu dia”).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Ritmo com pausa estratégica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Neuroeconomia e tempo de processamento (princípio da fluência cognitiva)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Frases curtas → ponto → pausa visual. Usado para fixar ideias.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Anúncios de Hormozi em Shorts com cortes abruptos entre blocos de texto.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Storytelling com recompensa (dopamina)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Martin Lindstrom – </w:t>
      </w:r>
      <w:r w:rsidDel="00000000" w:rsidR="00000000" w:rsidRPr="00000000">
        <w:rPr>
          <w:i w:val="1"/>
          <w:rtl w:val="0"/>
        </w:rPr>
        <w:t xml:space="preserve">Small Data</w:t>
      </w:r>
      <w:r w:rsidDel="00000000" w:rsidR="00000000" w:rsidRPr="00000000">
        <w:rPr>
          <w:rtl w:val="0"/>
        </w:rPr>
        <w:t xml:space="preserve">; BJ Fogg – antecipação como dopamina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Construir mini histórias com final de ganho emocional, prático ou surpresa.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“Ela achava que nunca ia conseguir. Em 2 semanas, estava com o primeiro cliente pago.”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 de antecipação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BJ Fogg / Lindstrom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Prometer conteúdo ou benefício que será revelado no próximo clique/slide.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“No próximo story eu explico como esse número foi alcançado.”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4go46lrr8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Gatilhos Mentais Profundos e sua Lógica Comportamental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Consistência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Neurocomportamento</w:t>
      </w:r>
      <w:r w:rsidDel="00000000" w:rsidR="00000000" w:rsidRPr="00000000">
        <w:rPr>
          <w:rtl w:val="0"/>
        </w:rPr>
        <w:t xml:space="preserve">: Pessoas querem manter coerência com decisões anteriores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“Você já clicou no primeiro botão. Agora é só confirmar sua inscrição.”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BJ Fogg usa isso em campanhas com progressão de CTA.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Reciprocidade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 científica</w:t>
      </w:r>
      <w:r w:rsidDel="00000000" w:rsidR="00000000" w:rsidRPr="00000000">
        <w:rPr>
          <w:rtl w:val="0"/>
        </w:rPr>
        <w:t xml:space="preserve">: Cialdini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“Baixe o plano gratuito antes de decidir se quer a versão completa.”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Neil Patel oferece ferramentas gratuitas como entrada para serviços pagos.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Urgência com tensão emocional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: Kahneman (Sistema 1 – emocional)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“Essa oferta desaparece hoje, e você sabe que não vai tentar de novo.”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Emails de encerramento de carrinho no Fórmula de Lançamento.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Curiosidade com lacuna cognitiva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: Loewenstein – teoria da lacuna de curiosidade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“O maior erro que 93% cometem — e ninguém te contou ainda.”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Ganchos de abertura da Rock Content e Growth Hackers.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Validação social (sobrevivência no grupo)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: Cialdini + neurociência da rejeição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Mostrar o que o grupo já decidiu: “+18 mil alunos já aplicam isso toda semana.”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Copy diária do Copy Daily (Pedro Sobral)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Facilidade cognitiva (fluência = verdade)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: Kahneman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Frases curtas, vocabulário simples, estrutura direta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“Você lê. Você entende. Você decide.”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pxcu8yv9o0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Técnicas de Microcompromissos e Ação Progressiva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BJ Fogg – Fogg Behavior Model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Pequenas ações incrementais geram maior propensão a agir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prática em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WhatsApp: “Responda ‘sim’ que eu te envio o material.”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Stories: Enquete com “Quer saber como? [ ] Sim [ ] Com certeza”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E-mail: “Clique aqui se quiser ver o que acontece depois…”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Campanha de aquisição da Leadster com sequência: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Story com enquetes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Página com conteúdo leve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Retargeting com oferta final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Referência: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behaviormodel.org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qsw8clj79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Boas Práticas Baseadas em Autores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Cialdini – </w:t>
      </w:r>
      <w:r w:rsidDel="00000000" w:rsidR="00000000" w:rsidRPr="00000000">
        <w:rPr>
          <w:b w:val="1"/>
          <w:i w:val="1"/>
          <w:rtl w:val="0"/>
        </w:rPr>
        <w:t xml:space="preserve">Influence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“O que as outras pessoas fazem é frequentemente mais persuasivo do que o que dizemos.”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Use testemunhos e número de usuários antes do CTA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Página de vendas, social proof no checkout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Kahneman – </w:t>
      </w:r>
      <w:r w:rsidDel="00000000" w:rsidR="00000000" w:rsidRPr="00000000">
        <w:rPr>
          <w:b w:val="1"/>
          <w:i w:val="1"/>
          <w:rtl w:val="0"/>
        </w:rPr>
        <w:t xml:space="preserve">Thinking, Fast and Slow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“Sistema 1 toma decisões rápidas baseadas em emoção e hábito.”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Use headlines emocionais e CTAs simples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Ads e Reels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Martin Lindstrom – </w:t>
      </w:r>
      <w:r w:rsidDel="00000000" w:rsidR="00000000" w:rsidRPr="00000000">
        <w:rPr>
          <w:b w:val="1"/>
          <w:i w:val="1"/>
          <w:rtl w:val="0"/>
        </w:rPr>
        <w:t xml:space="preserve">Buyology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“O cérebro responde mais a símbolos e rituais do que a argumentos racionais.”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Crie rotina, assinatura verbal ou visual na sua comunicação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VSL, redes sociais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BJ Fogg – </w:t>
      </w:r>
      <w:r w:rsidDel="00000000" w:rsidR="00000000" w:rsidRPr="00000000">
        <w:rPr>
          <w:b w:val="1"/>
          <w:i w:val="1"/>
          <w:rtl w:val="0"/>
        </w:rPr>
        <w:t xml:space="preserve">Tiny Habits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“Facilidade e motivação juntas geram ação. Reduza o esforço.”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Use CTAs de um clique, linguagem simples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WhatsApp, botão no e-mail, formulário simplificado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Rory Sutherland – </w:t>
      </w:r>
      <w:r w:rsidDel="00000000" w:rsidR="00000000" w:rsidRPr="00000000">
        <w:rPr>
          <w:b w:val="1"/>
          <w:i w:val="1"/>
          <w:rtl w:val="0"/>
        </w:rPr>
        <w:t xml:space="preserve">Alchemy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“O valor percebido é psicológico, não matemático.”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Posicione sua oferta como transformação, não só entrega técnica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Pitch e headline de VSL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desejar, posso compilar todo o conteúdo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formatado tecnicamente para uso em sistemas com IA. Deseja que eu gere esse arquivo?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haviormodel.org/" TargetMode="External"/><Relationship Id="rId7" Type="http://schemas.openxmlformats.org/officeDocument/2006/relationships/hyperlink" Target="https://behaviormodel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