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64CE" w14:textId="40D6CF7D" w:rsidR="00684888" w:rsidRDefault="00684888" w:rsidP="006848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day hospital di Medicina Trasfusionale è dotato di un’apparecchiatura automatica per aferesi terapeutica Fresenius COM.TEC con cui vengono eseguite sedute di terapia per la rimozione di cellule patologiche o sostanze nocive.</w:t>
      </w:r>
    </w:p>
    <w:p w14:paraId="0BE2B838" w14:textId="54F50FA3" w:rsidR="00684888" w:rsidRDefault="00684888" w:rsidP="006848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tipi di aferesi terapeutiche includono le seguenti sottocategorie:</w:t>
      </w:r>
    </w:p>
    <w:p w14:paraId="5865D46D" w14:textId="59C302C2" w:rsidR="00684888" w:rsidRPr="00617FDB" w:rsidRDefault="00684888" w:rsidP="0061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7FDB">
        <w:rPr>
          <w:rFonts w:ascii="Times New Roman" w:hAnsi="Times New Roman" w:cs="Times New Roman"/>
          <w:b/>
          <w:bCs/>
          <w:sz w:val="36"/>
          <w:szCs w:val="36"/>
        </w:rPr>
        <w:t>Citoaferesi:</w:t>
      </w:r>
    </w:p>
    <w:p w14:paraId="294DB108" w14:textId="07E4314A" w:rsidR="00684888" w:rsidRDefault="00684888" w:rsidP="0068488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0942">
        <w:rPr>
          <w:rFonts w:ascii="Times New Roman" w:hAnsi="Times New Roman" w:cs="Times New Roman"/>
          <w:b/>
          <w:bCs/>
          <w:sz w:val="28"/>
          <w:szCs w:val="28"/>
        </w:rPr>
        <w:t>Eritroferesi</w:t>
      </w:r>
      <w:r w:rsidR="00000942">
        <w:rPr>
          <w:rFonts w:ascii="Times New Roman" w:hAnsi="Times New Roman" w:cs="Times New Roman"/>
          <w:sz w:val="28"/>
          <w:szCs w:val="28"/>
        </w:rPr>
        <w:t>: i globuli rossi sono separati dagli altri componenti del sangue, eliminati ed eventualmente sostituiti con soluzioni cristalloidi o colloidi.</w:t>
      </w:r>
    </w:p>
    <w:p w14:paraId="169695DD" w14:textId="5843878C" w:rsidR="00684888" w:rsidRPr="00000942" w:rsidRDefault="00684888" w:rsidP="000009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0942">
        <w:rPr>
          <w:rFonts w:ascii="Times New Roman" w:hAnsi="Times New Roman" w:cs="Times New Roman"/>
          <w:b/>
          <w:bCs/>
          <w:sz w:val="28"/>
          <w:szCs w:val="28"/>
        </w:rPr>
        <w:t>Leucocitoferesi</w:t>
      </w:r>
      <w:r w:rsidR="00000942">
        <w:rPr>
          <w:rFonts w:ascii="Times New Roman" w:hAnsi="Times New Roman" w:cs="Times New Roman"/>
          <w:sz w:val="28"/>
          <w:szCs w:val="28"/>
        </w:rPr>
        <w:t xml:space="preserve">: i globuli bianchi (blasti leucemici o granulociti) </w:t>
      </w:r>
      <w:r w:rsidR="00000942">
        <w:rPr>
          <w:rFonts w:ascii="Times New Roman" w:hAnsi="Times New Roman" w:cs="Times New Roman"/>
          <w:sz w:val="28"/>
          <w:szCs w:val="28"/>
        </w:rPr>
        <w:t>sono separati dagli altri componenti del sangue, eliminati ed eventualmente sostituiti con soluzioni cristalloidi o colloidi.</w:t>
      </w:r>
    </w:p>
    <w:p w14:paraId="392E5ABD" w14:textId="31B3F162" w:rsidR="00684888" w:rsidRPr="00000942" w:rsidRDefault="00684888" w:rsidP="000009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0942">
        <w:rPr>
          <w:rFonts w:ascii="Times New Roman" w:hAnsi="Times New Roman" w:cs="Times New Roman"/>
          <w:b/>
          <w:bCs/>
          <w:sz w:val="28"/>
          <w:szCs w:val="28"/>
        </w:rPr>
        <w:t>Piastrinoferesi</w:t>
      </w:r>
      <w:r w:rsidR="00000942">
        <w:rPr>
          <w:rFonts w:ascii="Times New Roman" w:hAnsi="Times New Roman" w:cs="Times New Roman"/>
          <w:sz w:val="28"/>
          <w:szCs w:val="28"/>
        </w:rPr>
        <w:t xml:space="preserve">: le piastrine sono separate </w:t>
      </w:r>
      <w:r w:rsidR="00000942">
        <w:rPr>
          <w:rFonts w:ascii="Times New Roman" w:hAnsi="Times New Roman" w:cs="Times New Roman"/>
          <w:sz w:val="28"/>
          <w:szCs w:val="28"/>
        </w:rPr>
        <w:t>dagli altri componenti del sangue, eliminati ed eventualmente sostituiti con soluzioni cristalloidi o colloidi.</w:t>
      </w:r>
    </w:p>
    <w:p w14:paraId="7546A900" w14:textId="58A6C4CB" w:rsidR="00684888" w:rsidRDefault="00684888" w:rsidP="0068488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0942">
        <w:rPr>
          <w:rFonts w:ascii="Times New Roman" w:hAnsi="Times New Roman" w:cs="Times New Roman"/>
          <w:b/>
          <w:bCs/>
          <w:sz w:val="28"/>
          <w:szCs w:val="28"/>
        </w:rPr>
        <w:t>Scambio eritrocitario</w:t>
      </w:r>
      <w:r w:rsidR="00000942">
        <w:rPr>
          <w:rFonts w:ascii="Times New Roman" w:hAnsi="Times New Roman" w:cs="Times New Roman"/>
          <w:sz w:val="28"/>
          <w:szCs w:val="28"/>
        </w:rPr>
        <w:t xml:space="preserve">: </w:t>
      </w:r>
      <w:r w:rsidR="00000942">
        <w:rPr>
          <w:rFonts w:ascii="Times New Roman" w:hAnsi="Times New Roman" w:cs="Times New Roman"/>
          <w:sz w:val="28"/>
          <w:szCs w:val="28"/>
        </w:rPr>
        <w:t xml:space="preserve">i globuli rossi sono separati dagli altri componenti del sangue, eliminati </w:t>
      </w:r>
      <w:r w:rsidR="00000942">
        <w:rPr>
          <w:rFonts w:ascii="Times New Roman" w:hAnsi="Times New Roman" w:cs="Times New Roman"/>
          <w:sz w:val="28"/>
          <w:szCs w:val="28"/>
        </w:rPr>
        <w:t>e</w:t>
      </w:r>
      <w:r w:rsidR="00000942">
        <w:rPr>
          <w:rFonts w:ascii="Times New Roman" w:hAnsi="Times New Roman" w:cs="Times New Roman"/>
          <w:sz w:val="28"/>
          <w:szCs w:val="28"/>
        </w:rPr>
        <w:t xml:space="preserve"> sostituiti con </w:t>
      </w:r>
      <w:r w:rsidR="00000942">
        <w:rPr>
          <w:rFonts w:ascii="Times New Roman" w:hAnsi="Times New Roman" w:cs="Times New Roman"/>
          <w:sz w:val="28"/>
          <w:szCs w:val="28"/>
        </w:rPr>
        <w:t xml:space="preserve">globuli ressi di donatore e </w:t>
      </w:r>
      <w:r w:rsidR="00000942">
        <w:rPr>
          <w:rFonts w:ascii="Times New Roman" w:hAnsi="Times New Roman" w:cs="Times New Roman"/>
          <w:sz w:val="28"/>
          <w:szCs w:val="28"/>
        </w:rPr>
        <w:t>soluzioni colloidi</w:t>
      </w:r>
      <w:r w:rsidR="00000942">
        <w:rPr>
          <w:rFonts w:ascii="Times New Roman" w:hAnsi="Times New Roman" w:cs="Times New Roman"/>
          <w:sz w:val="28"/>
          <w:szCs w:val="28"/>
        </w:rPr>
        <w:t>.</w:t>
      </w:r>
    </w:p>
    <w:p w14:paraId="10D88FC4" w14:textId="5589F7EF" w:rsidR="00C56EC5" w:rsidRDefault="00C56EC5" w:rsidP="0068488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EC5">
        <w:rPr>
          <w:rFonts w:ascii="Times New Roman" w:hAnsi="Times New Roman" w:cs="Times New Roman"/>
          <w:b/>
          <w:bCs/>
          <w:sz w:val="28"/>
          <w:szCs w:val="28"/>
        </w:rPr>
        <w:t>Citoferesi mediante adsorbimento</w:t>
      </w:r>
      <w:r>
        <w:rPr>
          <w:rFonts w:ascii="Times New Roman" w:hAnsi="Times New Roman" w:cs="Times New Roman"/>
          <w:sz w:val="28"/>
          <w:szCs w:val="28"/>
        </w:rPr>
        <w:t>: il sangue del paziente passa attraverso una colonna o filtro che adsorbe selettivamente monociti e granulociti attivati permettendo alle restanti cellule e componenti del sangue di ritornare al paziente.</w:t>
      </w:r>
    </w:p>
    <w:p w14:paraId="28F95CE6" w14:textId="60B1B0EF" w:rsidR="00691E80" w:rsidRDefault="00691E80" w:rsidP="0068488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Fotoferesi extracorporea</w:t>
      </w:r>
      <w:r w:rsidRPr="00691E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il buffy coat è separato dal sangue del paziente e trattato in extracorporea con un composto fotoattivo (ad es. psoralene), esposto ad UVA e reinfuso durante la stessa procedura.</w:t>
      </w:r>
    </w:p>
    <w:p w14:paraId="7D69EF49" w14:textId="3717C4B6" w:rsidR="00684888" w:rsidRPr="00617FDB" w:rsidRDefault="00684888" w:rsidP="0061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7FDB">
        <w:rPr>
          <w:rFonts w:ascii="Times New Roman" w:hAnsi="Times New Roman" w:cs="Times New Roman"/>
          <w:b/>
          <w:bCs/>
          <w:sz w:val="36"/>
          <w:szCs w:val="36"/>
        </w:rPr>
        <w:t>Plasmaferesi:</w:t>
      </w:r>
    </w:p>
    <w:p w14:paraId="424DE448" w14:textId="1A79E8C9" w:rsidR="00B9730E" w:rsidRDefault="00B9730E" w:rsidP="0068488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FDB">
        <w:rPr>
          <w:rFonts w:ascii="Times New Roman" w:hAnsi="Times New Roman" w:cs="Times New Roman"/>
          <w:b/>
          <w:bCs/>
          <w:sz w:val="28"/>
          <w:szCs w:val="28"/>
        </w:rPr>
        <w:t>Plasma exchange</w:t>
      </w:r>
      <w:r w:rsidR="00C56EC5">
        <w:rPr>
          <w:rFonts w:ascii="Times New Roman" w:hAnsi="Times New Roman" w:cs="Times New Roman"/>
          <w:sz w:val="28"/>
          <w:szCs w:val="28"/>
        </w:rPr>
        <w:t>: il plasma del paziente viene separato dagli altri componenti del sangue e sostituito da plasma di donatore e/o soluzioni colloidi</w:t>
      </w:r>
      <w:r w:rsidR="00617FDB">
        <w:rPr>
          <w:rFonts w:ascii="Times New Roman" w:hAnsi="Times New Roman" w:cs="Times New Roman"/>
          <w:sz w:val="28"/>
          <w:szCs w:val="28"/>
        </w:rPr>
        <w:t>/cristalloidi</w:t>
      </w:r>
      <w:r w:rsidR="00C56EC5">
        <w:rPr>
          <w:rFonts w:ascii="Times New Roman" w:hAnsi="Times New Roman" w:cs="Times New Roman"/>
          <w:sz w:val="28"/>
          <w:szCs w:val="28"/>
        </w:rPr>
        <w:t>.</w:t>
      </w:r>
    </w:p>
    <w:p w14:paraId="54736114" w14:textId="201C921C" w:rsidR="00B9730E" w:rsidRDefault="00B9730E" w:rsidP="0068488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FDB">
        <w:rPr>
          <w:rFonts w:ascii="Times New Roman" w:hAnsi="Times New Roman" w:cs="Times New Roman"/>
          <w:b/>
          <w:bCs/>
          <w:sz w:val="28"/>
          <w:szCs w:val="28"/>
        </w:rPr>
        <w:t>Immunoadsorbimento</w:t>
      </w:r>
      <w:r w:rsidR="00617FDB">
        <w:rPr>
          <w:rFonts w:ascii="Times New Roman" w:hAnsi="Times New Roman" w:cs="Times New Roman"/>
          <w:sz w:val="28"/>
          <w:szCs w:val="28"/>
        </w:rPr>
        <w:t>: il plasma del paziente viene separato e fatto passare attraverso una colonna adsorbente cui sono legati ligandi specifici per immunoglobuline che vengono così rimosse.</w:t>
      </w:r>
    </w:p>
    <w:p w14:paraId="1D4A0636" w14:textId="107EDEEE" w:rsidR="00B9730E" w:rsidRDefault="00B9730E" w:rsidP="0068488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FDB">
        <w:rPr>
          <w:rFonts w:ascii="Times New Roman" w:hAnsi="Times New Roman" w:cs="Times New Roman"/>
          <w:b/>
          <w:bCs/>
          <w:sz w:val="28"/>
          <w:szCs w:val="28"/>
        </w:rPr>
        <w:t>Aferesi LDL</w:t>
      </w:r>
      <w:r w:rsidR="00617FDB">
        <w:rPr>
          <w:rFonts w:ascii="Times New Roman" w:hAnsi="Times New Roman" w:cs="Times New Roman"/>
          <w:sz w:val="28"/>
          <w:szCs w:val="28"/>
        </w:rPr>
        <w:t>: rimozione specifica delle lipoproteine del sangue del paziente.</w:t>
      </w:r>
    </w:p>
    <w:p w14:paraId="4CB29ED4" w14:textId="77777777" w:rsidR="00877D65" w:rsidRDefault="0087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337EF8" w14:textId="7B8413C3" w:rsidR="00877D65" w:rsidRPr="00877D65" w:rsidRDefault="00C51E3D" w:rsidP="00877D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livello mondiale vengono accettate le indicazioni pubblicate biennalmente dalla ASFA, American Society for Apheresis, che suddividono le indicazioni in categorie di indicazioni ed in gradi di evidenza.</w:t>
      </w:r>
    </w:p>
    <w:p w14:paraId="6FB36E4D" w14:textId="52052A45" w:rsidR="00474B46" w:rsidRPr="00474B46" w:rsidRDefault="00474B46" w:rsidP="00474B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B46">
        <w:rPr>
          <w:rFonts w:ascii="Times New Roman" w:hAnsi="Times New Roman" w:cs="Times New Roman"/>
          <w:b/>
          <w:bCs/>
          <w:sz w:val="28"/>
          <w:szCs w:val="28"/>
        </w:rPr>
        <w:t>Definizioni delle categorie</w:t>
      </w:r>
    </w:p>
    <w:p w14:paraId="36CA7D97" w14:textId="7F687CFF" w:rsidR="00474B46" w:rsidRDefault="00474B46" w:rsidP="00474B46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sz w:val="28"/>
          <w:szCs w:val="28"/>
        </w:rPr>
        <w:t>Patologie per cui l’aferesi è accettabile come terapia di prima linea, sia come unico trattamento, sia come trattamento associato ad altri tipi di intervento.</w:t>
      </w:r>
    </w:p>
    <w:p w14:paraId="66904097" w14:textId="4264C879" w:rsidR="004C7A9C" w:rsidRPr="004C7A9C" w:rsidRDefault="004C7A9C" w:rsidP="00474B46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sz w:val="28"/>
          <w:szCs w:val="28"/>
        </w:rPr>
        <w:t>Patologie in cui l’aferesi è accettata come seconda opzione, sia da sola sia assieme ad altre terapie</w:t>
      </w:r>
      <w:r w:rsidRPr="004C7A9C">
        <w:rPr>
          <w:rFonts w:ascii="Times New Roman" w:hAnsi="Times New Roman" w:cs="Times New Roman"/>
          <w:sz w:val="28"/>
          <w:szCs w:val="28"/>
        </w:rPr>
        <w:t>.</w:t>
      </w:r>
    </w:p>
    <w:p w14:paraId="2E568F31" w14:textId="2F6BB4A8" w:rsidR="004C7A9C" w:rsidRPr="004C7A9C" w:rsidRDefault="004C7A9C" w:rsidP="00474B46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sz w:val="28"/>
          <w:szCs w:val="28"/>
        </w:rPr>
        <w:t>Non sufficienti evidenze di efficacia, la decisione al trattamento va valutata caso per caso</w:t>
      </w:r>
      <w:r w:rsidRPr="004C7A9C">
        <w:rPr>
          <w:rFonts w:ascii="Times New Roman" w:hAnsi="Times New Roman" w:cs="Times New Roman"/>
          <w:sz w:val="28"/>
          <w:szCs w:val="28"/>
        </w:rPr>
        <w:t>.</w:t>
      </w:r>
    </w:p>
    <w:p w14:paraId="51FE5DAF" w14:textId="5995AFF1" w:rsidR="004C7A9C" w:rsidRDefault="004C7A9C" w:rsidP="00474B46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Malattie in cui ci sono evidenze scientifiche pubblicate che dimostrano l’inefficacia o la pericolosità dell’aferesi terapeutica</w:t>
      </w:r>
    </w:p>
    <w:p w14:paraId="5E8B9028" w14:textId="296BC626" w:rsidR="004C7A9C" w:rsidRPr="004C7A9C" w:rsidRDefault="004C7A9C" w:rsidP="004C7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Gradi di raccomandazione</w:t>
      </w:r>
    </w:p>
    <w:p w14:paraId="008DBDA7" w14:textId="07471BE5" w:rsidR="004C7A9C" w:rsidRP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1A)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Fortemente raccomandato, prove scientifiche di elevata qualità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Pr="004C7A9C">
        <w:rPr>
          <w:rFonts w:ascii="Times New Roman" w:hAnsi="Times New Roman" w:cs="Times New Roman"/>
          <w:sz w:val="28"/>
          <w:szCs w:val="28"/>
        </w:rPr>
        <w:t>trattamento applicabile nella maggior parte dei pazienti e delle situazioni senza particolari riserve</w:t>
      </w:r>
    </w:p>
    <w:p w14:paraId="393C4FD5" w14:textId="4E05CCB3" w:rsidR="004C7A9C" w:rsidRP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1B)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Fortemente raccomandato, prove scientifiche di modesta qualità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7A9C">
        <w:rPr>
          <w:rFonts w:ascii="Times New Roman" w:hAnsi="Times New Roman" w:cs="Times New Roman"/>
          <w:sz w:val="28"/>
          <w:szCs w:val="28"/>
        </w:rPr>
        <w:t>trattamento applicabile nella maggior parte dei pazienti e delle situazioni senza particolari riserve</w:t>
      </w:r>
    </w:p>
    <w:p w14:paraId="6B8368DC" w14:textId="4F8AC4D2" w:rsidR="004C7A9C" w:rsidRP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1C)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Fortemente raccomandato, prove scientifiche di bassa o bassissima qualità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7A9C">
        <w:rPr>
          <w:rFonts w:ascii="Times New Roman" w:hAnsi="Times New Roman" w:cs="Times New Roman"/>
          <w:sz w:val="28"/>
          <w:szCs w:val="28"/>
        </w:rPr>
        <w:t xml:space="preserve"> potrebbe mutare quando fossero disponibili evidenze di maggiore qualità</w:t>
      </w:r>
    </w:p>
    <w:p w14:paraId="289F1E65" w14:textId="19AD854E" w:rsidR="004C7A9C" w:rsidRP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2A)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Debolmente raccomandato, alta qualità dell’evidenza, una migliore azione potrebbe derivare da singole circostanze del paziente o del contesto sociale</w:t>
      </w:r>
    </w:p>
    <w:p w14:paraId="440624D7" w14:textId="30DFD315" w:rsidR="004C7A9C" w:rsidRP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2B)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Debolmente raccomandato, modesta qualità di evidenza, una migliore azione potrebbe derivare da singole circostanze del paziente o del contesto sociale</w:t>
      </w:r>
    </w:p>
    <w:p w14:paraId="53061C6E" w14:textId="5C463003" w:rsidR="004C7A9C" w:rsidRDefault="004C7A9C" w:rsidP="0000094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A9C">
        <w:rPr>
          <w:rFonts w:ascii="Times New Roman" w:hAnsi="Times New Roman" w:cs="Times New Roman"/>
          <w:b/>
          <w:bCs/>
          <w:sz w:val="28"/>
          <w:szCs w:val="28"/>
        </w:rPr>
        <w:t>2C)</w:t>
      </w:r>
      <w:r w:rsidRPr="004C7A9C">
        <w:rPr>
          <w:rFonts w:ascii="Times New Roman" w:hAnsi="Times New Roman" w:cs="Times New Roman"/>
          <w:sz w:val="28"/>
          <w:szCs w:val="28"/>
        </w:rPr>
        <w:t xml:space="preserve"> </w:t>
      </w:r>
      <w:r w:rsidR="00000942">
        <w:rPr>
          <w:rFonts w:ascii="Times New Roman" w:hAnsi="Times New Roman" w:cs="Times New Roman"/>
          <w:sz w:val="28"/>
          <w:szCs w:val="28"/>
        </w:rPr>
        <w:tab/>
      </w:r>
      <w:r w:rsidRPr="004C7A9C">
        <w:rPr>
          <w:rFonts w:ascii="Times New Roman" w:hAnsi="Times New Roman" w:cs="Times New Roman"/>
          <w:sz w:val="28"/>
          <w:szCs w:val="28"/>
        </w:rPr>
        <w:t>Debolmente raccomandato, bassa o bassissima qualità di evidenza</w:t>
      </w:r>
      <w:r w:rsidRPr="004C7A9C">
        <w:rPr>
          <w:rFonts w:ascii="Times New Roman" w:hAnsi="Times New Roman" w:cs="Times New Roman"/>
          <w:sz w:val="28"/>
          <w:szCs w:val="28"/>
        </w:rPr>
        <w:t xml:space="preserve">; </w:t>
      </w:r>
      <w:r w:rsidRPr="004C7A9C">
        <w:rPr>
          <w:rFonts w:ascii="Times New Roman" w:hAnsi="Times New Roman" w:cs="Times New Roman"/>
          <w:sz w:val="28"/>
          <w:szCs w:val="28"/>
        </w:rPr>
        <w:t>devono essere considerate altre opportunità</w:t>
      </w:r>
    </w:p>
    <w:p w14:paraId="5A6FA56D" w14:textId="77777777" w:rsidR="00877D65" w:rsidRDefault="00877D65" w:rsidP="000009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DA841" w14:textId="3862A419" w:rsidR="00877D65" w:rsidRDefault="0087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ACD595" w14:textId="591B063C" w:rsidR="00000942" w:rsidRDefault="00691E80" w:rsidP="000009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Limitandoci alle sole patologie appartenenti alle categorie I e II con grado di raccomandazione 1A, 1B e 1C sono attualmente disponibili presso questo day hospital le seguenti procedure:</w:t>
      </w:r>
    </w:p>
    <w:p w14:paraId="157434FF" w14:textId="7F490050" w:rsidR="00691E80" w:rsidRDefault="00691E80" w:rsidP="00691E80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Eritroferesi:</w:t>
      </w:r>
    </w:p>
    <w:p w14:paraId="126008A3" w14:textId="1C51427F" w:rsidR="00691E80" w:rsidRDefault="00691E80" w:rsidP="00691E80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Emocromatosi ereditaria</w:t>
      </w:r>
    </w:p>
    <w:p w14:paraId="7470D30E" w14:textId="1FB1DCCE" w:rsidR="00691E80" w:rsidRDefault="00691E80" w:rsidP="00691E80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Policitemia vera</w:t>
      </w:r>
    </w:p>
    <w:p w14:paraId="05709192" w14:textId="1440CF8D" w:rsidR="009207A6" w:rsidRDefault="009207A6" w:rsidP="009207A6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Leucocitoferesi:</w:t>
      </w:r>
    </w:p>
    <w:p w14:paraId="15670E12" w14:textId="7CB57E11" w:rsidR="009207A6" w:rsidRDefault="0086167C" w:rsidP="009207A6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  <w:r w:rsidR="00877D65">
        <w:rPr>
          <w:rFonts w:ascii="Times New Roman" w:hAnsi="Times New Roman" w:cs="Times New Roman"/>
          <w:sz w:val="28"/>
          <w:szCs w:val="28"/>
        </w:rPr>
        <w:t xml:space="preserve">ci sono patologie appartenenti alle classi considerate; </w:t>
      </w:r>
      <w:r>
        <w:rPr>
          <w:rFonts w:ascii="Times New Roman" w:hAnsi="Times New Roman" w:cs="Times New Roman"/>
          <w:sz w:val="28"/>
          <w:szCs w:val="28"/>
        </w:rPr>
        <w:t>nel trattamento delle iperleucocitosi in corso di leucemie</w:t>
      </w:r>
      <w:r w:rsidR="0050660C">
        <w:rPr>
          <w:rFonts w:ascii="Times New Roman" w:hAnsi="Times New Roman" w:cs="Times New Roman"/>
          <w:sz w:val="28"/>
          <w:szCs w:val="28"/>
        </w:rPr>
        <w:t xml:space="preserve"> </w:t>
      </w:r>
      <w:r w:rsidR="00877D65">
        <w:rPr>
          <w:rFonts w:ascii="Times New Roman" w:hAnsi="Times New Roman" w:cs="Times New Roman"/>
          <w:sz w:val="28"/>
          <w:szCs w:val="28"/>
        </w:rPr>
        <w:t xml:space="preserve">non sono stati confermati i vantaggi sulla sopravvivenza </w:t>
      </w:r>
      <w:r w:rsidR="0050660C">
        <w:rPr>
          <w:rFonts w:ascii="Times New Roman" w:hAnsi="Times New Roman" w:cs="Times New Roman"/>
          <w:sz w:val="28"/>
          <w:szCs w:val="28"/>
        </w:rPr>
        <w:t>(Ref. 1, 2,3)</w:t>
      </w:r>
    </w:p>
    <w:p w14:paraId="0173DE67" w14:textId="061E8065" w:rsidR="0050660C" w:rsidRDefault="0050660C" w:rsidP="0050660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Piastrinoferesi:</w:t>
      </w:r>
    </w:p>
    <w:p w14:paraId="5B304C46" w14:textId="12C77829" w:rsidR="0050660C" w:rsidRDefault="00877D65" w:rsidP="0050660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ci sono patologie appartenenti alle classi considerate;</w:t>
      </w:r>
      <w:r>
        <w:rPr>
          <w:rFonts w:ascii="Times New Roman" w:hAnsi="Times New Roman" w:cs="Times New Roman"/>
          <w:sz w:val="28"/>
          <w:szCs w:val="28"/>
        </w:rPr>
        <w:t xml:space="preserve"> nella trombocitosi sintomatica ha una classificazione di categoria II e classe 2C.</w:t>
      </w:r>
    </w:p>
    <w:p w14:paraId="09596E93" w14:textId="53950066" w:rsidR="00877D65" w:rsidRDefault="00877D65" w:rsidP="00877D65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Scambio eritrocitario:</w:t>
      </w:r>
    </w:p>
    <w:p w14:paraId="163D2FEF" w14:textId="52EAE520" w:rsidR="00877D65" w:rsidRDefault="00877D65" w:rsidP="00877D65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Anemia falciforme in caso di ictus o come prevenzione dell’ictus.</w:t>
      </w:r>
    </w:p>
    <w:p w14:paraId="1864ED2C" w14:textId="5731A85B" w:rsidR="000333FF" w:rsidRDefault="000333FF" w:rsidP="000333F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Plasma exchange:</w:t>
      </w:r>
    </w:p>
    <w:p w14:paraId="4FC3583B" w14:textId="3E52C04C" w:rsidR="000333FF" w:rsidRDefault="0048117A" w:rsidP="000333F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Porpora trombotica trombocitopenica</w:t>
      </w:r>
    </w:p>
    <w:p w14:paraId="1C61508F" w14:textId="77777777" w:rsidR="0048117A" w:rsidRDefault="0048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BDA9D" w14:textId="39FC3A9C" w:rsidR="00877D65" w:rsidRDefault="00592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 l’acquisizione di nuove apparecchiature è possibile soddisfare ulteriori richieste:</w:t>
      </w:r>
    </w:p>
    <w:p w14:paraId="17FA3286" w14:textId="4A828CCF" w:rsidR="00592098" w:rsidRDefault="00592098" w:rsidP="0059209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098">
        <w:rPr>
          <w:rFonts w:ascii="Times New Roman" w:hAnsi="Times New Roman" w:cs="Times New Roman"/>
          <w:sz w:val="28"/>
          <w:szCs w:val="28"/>
        </w:rPr>
        <w:t>Citoferesi mediante adsorbimento:</w:t>
      </w:r>
    </w:p>
    <w:p w14:paraId="0D60B80B" w14:textId="7C230710" w:rsidR="00592098" w:rsidRDefault="00592098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Colite ulcerosa</w:t>
      </w:r>
    </w:p>
    <w:p w14:paraId="66D2F416" w14:textId="545AC960" w:rsidR="00592098" w:rsidRDefault="00592098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Morbo di Crohn</w:t>
      </w:r>
    </w:p>
    <w:p w14:paraId="39EC37AD" w14:textId="07B5DB75" w:rsidR="00592098" w:rsidRDefault="00592098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Vasculite di Behcet</w:t>
      </w:r>
    </w:p>
    <w:p w14:paraId="66B0B94B" w14:textId="64FAF7BB" w:rsidR="00592098" w:rsidRDefault="00592098" w:rsidP="0059209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Fotoferesi extracorporea:</w:t>
      </w:r>
    </w:p>
    <w:p w14:paraId="1214C83B" w14:textId="1BB4CD7F" w:rsidR="00592098" w:rsidRDefault="00592098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Linfoma cutaneo a cellule T</w:t>
      </w:r>
    </w:p>
    <w:p w14:paraId="2B763056" w14:textId="09B194EA" w:rsidR="00592098" w:rsidRDefault="00592098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Bronchiolite obliterate in trapianto di polmone</w:t>
      </w:r>
    </w:p>
    <w:p w14:paraId="7CAA7F6A" w14:textId="737DFBE0" w:rsidR="000333FF" w:rsidRDefault="000333FF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Rigetto di trapianto cardiaco e sua profilassi</w:t>
      </w:r>
    </w:p>
    <w:p w14:paraId="4334C7FF" w14:textId="1FDC4E2C" w:rsidR="000333FF" w:rsidRDefault="000333FF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Psoriasi con pustole disseminate</w:t>
      </w:r>
    </w:p>
    <w:p w14:paraId="61AFB072" w14:textId="1185CBC9" w:rsidR="000333FF" w:rsidRDefault="000333FF" w:rsidP="0059209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3FF">
        <w:rPr>
          <w:rFonts w:ascii="Times New Roman" w:hAnsi="Times New Roman" w:cs="Times New Roman"/>
          <w:sz w:val="28"/>
          <w:szCs w:val="28"/>
          <w:lang w:val="en-US"/>
        </w:rPr>
        <w:t>Graft versus host disease a</w:t>
      </w:r>
      <w:r>
        <w:rPr>
          <w:rFonts w:ascii="Times New Roman" w:hAnsi="Times New Roman" w:cs="Times New Roman"/>
          <w:sz w:val="28"/>
          <w:szCs w:val="28"/>
          <w:lang w:val="en-US"/>
        </w:rPr>
        <w:t>cuto e cronico</w:t>
      </w:r>
    </w:p>
    <w:p w14:paraId="54E79278" w14:textId="0F4B84BB" w:rsidR="000333FF" w:rsidRDefault="00C60CC1" w:rsidP="000333F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Immunoadsorbimento:</w:t>
      </w:r>
    </w:p>
    <w:p w14:paraId="5F2FAAC9" w14:textId="22FAD52D" w:rsidR="00C60CC1" w:rsidRDefault="00B156A8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Syndrome di Guillan-Barrè</w:t>
      </w:r>
    </w:p>
    <w:p w14:paraId="0BD0EC4D" w14:textId="1C75A62F" w:rsidR="0076175E" w:rsidRDefault="0076175E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Glomerulosclerosi focale segmenteria</w:t>
      </w:r>
    </w:p>
    <w:p w14:paraId="585E0CC0" w14:textId="77777777" w:rsidR="00B156A8" w:rsidRDefault="00B156A8" w:rsidP="00B156A8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Poliradiculoneuropatia infiammatoria cronica demielinizzante</w:t>
      </w:r>
    </w:p>
    <w:p w14:paraId="73B3EB7D" w14:textId="7AC35BA9" w:rsidR="00B156A8" w:rsidRDefault="00B156A8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56A8">
        <w:rPr>
          <w:rFonts w:ascii="Times New Roman" w:hAnsi="Times New Roman" w:cs="Times New Roman"/>
          <w:sz w:val="28"/>
          <w:szCs w:val="28"/>
        </w:rPr>
        <w:t>Cardiomiopatia dilatative NYHA II-I</w:t>
      </w:r>
      <w:r>
        <w:rPr>
          <w:rFonts w:ascii="Times New Roman" w:hAnsi="Times New Roman" w:cs="Times New Roman"/>
          <w:sz w:val="28"/>
          <w:szCs w:val="28"/>
        </w:rPr>
        <w:t>V</w:t>
      </w:r>
    </w:p>
    <w:p w14:paraId="33A06CB7" w14:textId="2013DD92" w:rsidR="00B156A8" w:rsidRDefault="00B156A8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Sclerosi multipla</w:t>
      </w:r>
    </w:p>
    <w:p w14:paraId="56D9E075" w14:textId="77777777" w:rsidR="00B156A8" w:rsidRDefault="00B156A8" w:rsidP="00B156A8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Neuromielite ottica</w:t>
      </w:r>
    </w:p>
    <w:p w14:paraId="3527E71C" w14:textId="3E8DFA01" w:rsidR="00B156A8" w:rsidRDefault="00B156A8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Desensibilizzazione in trapianti incompatibili</w:t>
      </w:r>
    </w:p>
    <w:p w14:paraId="67BCCC6E" w14:textId="18BB1677" w:rsidR="00B156A8" w:rsidRDefault="00B156A8" w:rsidP="00C60CC1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Malattie da anticorpi contro i canali del potassio</w:t>
      </w:r>
    </w:p>
    <w:p w14:paraId="5C59946B" w14:textId="497799C6" w:rsidR="00B156A8" w:rsidRDefault="00B156A8" w:rsidP="00B156A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LDL aferesi:</w:t>
      </w:r>
    </w:p>
    <w:p w14:paraId="0C531FB8" w14:textId="687525E0" w:rsidR="00B156A8" w:rsidRDefault="0076175E" w:rsidP="00B156A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Ipercolesterolemia familiare</w:t>
      </w:r>
    </w:p>
    <w:p w14:paraId="713AE32E" w14:textId="5AB87E14" w:rsidR="0076175E" w:rsidRDefault="0076175E" w:rsidP="00B156A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Pancreatite da </w:t>
      </w:r>
      <w:proofErr w:type="spellStart"/>
      <w:r>
        <w:rPr>
          <w:rFonts w:ascii="Times New Roman" w:hAnsi="Times New Roman" w:cs="Times New Roman"/>
          <w:sz w:val="28"/>
          <w:szCs w:val="28"/>
        </w:rPr>
        <w:t>ipertrigliceridemia</w:t>
      </w:r>
      <w:proofErr w:type="spellEnd"/>
    </w:p>
    <w:p w14:paraId="72C9B727" w14:textId="6ECE0197" w:rsidR="0076175E" w:rsidRDefault="0076175E" w:rsidP="00B156A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Iperlipoproteinemia</w:t>
      </w:r>
      <w:proofErr w:type="spellEnd"/>
    </w:p>
    <w:p w14:paraId="3423A9A7" w14:textId="2459D831" w:rsidR="0076175E" w:rsidRDefault="0076175E" w:rsidP="00B156A8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Malattie vascolari periferiche</w:t>
      </w:r>
    </w:p>
    <w:p w14:paraId="67335C23" w14:textId="77777777" w:rsidR="0050660C" w:rsidRPr="00B156A8" w:rsidRDefault="0050660C" w:rsidP="005066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83DFB" w14:textId="27EE9456" w:rsidR="0050660C" w:rsidRPr="00B156A8" w:rsidRDefault="0050660C" w:rsidP="005066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D6C08" w14:textId="4FC044F5" w:rsidR="0050660C" w:rsidRDefault="0050660C" w:rsidP="005066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</w:t>
      </w:r>
    </w:p>
    <w:p w14:paraId="6413886F" w14:textId="00BE8357" w:rsidR="0050660C" w:rsidRPr="00B156A8" w:rsidRDefault="0050660C" w:rsidP="0050660C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Shallis</w:t>
      </w:r>
      <w:proofErr w:type="spellEnd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R. M., Stahl, M., </w:t>
      </w:r>
      <w:proofErr w:type="spellStart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Bewersdorf</w:t>
      </w:r>
      <w:proofErr w:type="spellEnd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J. P., Hendrickson, J. E., &amp; </w:t>
      </w:r>
      <w:proofErr w:type="spellStart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Zeidan</w:t>
      </w:r>
      <w:proofErr w:type="spellEnd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A. M. (2020). </w:t>
      </w:r>
      <w:proofErr w:type="spellStart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Leukocytapheresis</w:t>
      </w:r>
      <w:proofErr w:type="spellEnd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patients with acute myeloid leukemia presenting with hyperleukocytosis and </w:t>
      </w:r>
      <w:proofErr w:type="spellStart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leukostasis</w:t>
      </w:r>
      <w:proofErr w:type="spellEnd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contemporary appraisal of outcomes and benefits. </w:t>
      </w:r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Expert Review of </w:t>
      </w:r>
      <w:proofErr w:type="spellStart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Hematology</w:t>
      </w:r>
      <w:proofErr w:type="spellEnd"/>
      <w:r w:rsidRPr="00B156A8">
        <w:rPr>
          <w:rFonts w:ascii="Times New Roman" w:hAnsi="Times New Roman" w:cs="Times New Roman"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gramStart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doi:10.1080</w:t>
      </w:r>
      <w:proofErr w:type="gramEnd"/>
      <w:r w:rsidRPr="00B156A8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/17474086.2020.1751609 </w:t>
      </w:r>
    </w:p>
    <w:p w14:paraId="27C16085" w14:textId="43196921" w:rsidR="0050660C" w:rsidRPr="00B156A8" w:rsidRDefault="0050660C" w:rsidP="0050660C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Raghuwanshi</w:t>
      </w:r>
      <w:proofErr w:type="spellEnd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B, Chouhan S, Jain A (December 30, 2020) </w:t>
      </w:r>
      <w:proofErr w:type="spellStart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Leukocytapheresis</w:t>
      </w:r>
      <w:proofErr w:type="spellEnd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in Chronic Myeloid Leukemia </w:t>
      </w:r>
      <w:proofErr w:type="gramStart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proofErr w:type="gramEnd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Leukostasis</w:t>
      </w:r>
      <w:proofErr w:type="spellEnd"/>
      <w:r w:rsidRPr="00B156A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proofErr w:type="spellStart"/>
      <w:r w:rsidRPr="00B156A8">
        <w:rPr>
          <w:rFonts w:ascii="Times New Roman" w:hAnsi="Times New Roman" w:cs="Times New Roman"/>
          <w:color w:val="222222"/>
          <w:shd w:val="clear" w:color="auto" w:fill="FFFFFF"/>
        </w:rPr>
        <w:t>Cureus</w:t>
      </w:r>
      <w:proofErr w:type="spellEnd"/>
      <w:r w:rsidRPr="00B156A8">
        <w:rPr>
          <w:rFonts w:ascii="Times New Roman" w:hAnsi="Times New Roman" w:cs="Times New Roman"/>
          <w:color w:val="222222"/>
          <w:shd w:val="clear" w:color="auto" w:fill="FFFFFF"/>
        </w:rPr>
        <w:t xml:space="preserve"> 12(12): e12375. </w:t>
      </w:r>
      <w:proofErr w:type="gramStart"/>
      <w:r w:rsidRPr="00B156A8">
        <w:rPr>
          <w:rFonts w:ascii="Times New Roman" w:hAnsi="Times New Roman" w:cs="Times New Roman"/>
          <w:color w:val="222222"/>
          <w:shd w:val="clear" w:color="auto" w:fill="FFFFFF"/>
        </w:rPr>
        <w:t>doi:10.7759</w:t>
      </w:r>
      <w:proofErr w:type="gramEnd"/>
      <w:r w:rsidRPr="00B156A8">
        <w:rPr>
          <w:rFonts w:ascii="Times New Roman" w:hAnsi="Times New Roman" w:cs="Times New Roman"/>
          <w:color w:val="222222"/>
          <w:shd w:val="clear" w:color="auto" w:fill="FFFFFF"/>
        </w:rPr>
        <w:t>/cureus.12375</w:t>
      </w:r>
    </w:p>
    <w:p w14:paraId="40E2DE3F" w14:textId="75924548" w:rsidR="0050660C" w:rsidRPr="00B156A8" w:rsidRDefault="0050660C" w:rsidP="0050660C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6A8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Connelly‐Smith, L. and </w:t>
      </w:r>
      <w:proofErr w:type="spellStart"/>
      <w:r w:rsidRPr="00B156A8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Linenberger</w:t>
      </w:r>
      <w:proofErr w:type="spellEnd"/>
      <w:r w:rsidRPr="00B156A8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, M.L. (2020), </w:t>
      </w:r>
      <w:proofErr w:type="spellStart"/>
      <w:r w:rsidRPr="00B156A8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Leukocytapheresis</w:t>
      </w:r>
      <w:proofErr w:type="spellEnd"/>
      <w:r w:rsidRPr="00B156A8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for AML hyperleukocytosis: Failing to make the grade. </w:t>
      </w:r>
      <w:proofErr w:type="spellStart"/>
      <w:r w:rsidRPr="00B156A8">
        <w:rPr>
          <w:rFonts w:ascii="Times New Roman" w:hAnsi="Times New Roman" w:cs="Times New Roman"/>
          <w:color w:val="1C1D1E"/>
          <w:shd w:val="clear" w:color="auto" w:fill="FFFFFF"/>
        </w:rPr>
        <w:t>Transfusion</w:t>
      </w:r>
      <w:proofErr w:type="spellEnd"/>
      <w:r w:rsidRPr="00B156A8">
        <w:rPr>
          <w:rFonts w:ascii="Times New Roman" w:hAnsi="Times New Roman" w:cs="Times New Roman"/>
          <w:color w:val="1C1D1E"/>
          <w:shd w:val="clear" w:color="auto" w:fill="FFFFFF"/>
        </w:rPr>
        <w:t>, 60: 2161-2163. </w:t>
      </w:r>
      <w:hyperlink r:id="rId5" w:history="1">
        <w:r w:rsidRPr="00B156A8">
          <w:rPr>
            <w:rStyle w:val="Collegamentoipertestuale"/>
            <w:rFonts w:ascii="Times New Roman" w:hAnsi="Times New Roman" w:cs="Times New Roman"/>
            <w:color w:val="005274"/>
            <w:u w:val="none"/>
            <w:shd w:val="clear" w:color="auto" w:fill="FFFFFF"/>
          </w:rPr>
          <w:t>https://doi.org/10.1111/trf.16091</w:t>
        </w:r>
      </w:hyperlink>
    </w:p>
    <w:sectPr w:rsidR="0050660C" w:rsidRPr="00B15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865"/>
    <w:multiLevelType w:val="hybridMultilevel"/>
    <w:tmpl w:val="089EEE9C"/>
    <w:lvl w:ilvl="0" w:tplc="2E746E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51B"/>
    <w:multiLevelType w:val="hybridMultilevel"/>
    <w:tmpl w:val="5B1E0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6974"/>
    <w:multiLevelType w:val="hybridMultilevel"/>
    <w:tmpl w:val="BB9E56D0"/>
    <w:lvl w:ilvl="0" w:tplc="124686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B3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7C1BD1"/>
    <w:multiLevelType w:val="hybridMultilevel"/>
    <w:tmpl w:val="B5F02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85F85"/>
    <w:multiLevelType w:val="hybridMultilevel"/>
    <w:tmpl w:val="F40C0AD4"/>
    <w:lvl w:ilvl="0" w:tplc="124686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8"/>
    <w:rsid w:val="00000942"/>
    <w:rsid w:val="000333FF"/>
    <w:rsid w:val="0014661B"/>
    <w:rsid w:val="00200F86"/>
    <w:rsid w:val="00474B46"/>
    <w:rsid w:val="0048117A"/>
    <w:rsid w:val="004C7A9C"/>
    <w:rsid w:val="0050660C"/>
    <w:rsid w:val="00592098"/>
    <w:rsid w:val="00617FDB"/>
    <w:rsid w:val="00684888"/>
    <w:rsid w:val="00691E80"/>
    <w:rsid w:val="0076175E"/>
    <w:rsid w:val="00813E3E"/>
    <w:rsid w:val="0086167C"/>
    <w:rsid w:val="00877D65"/>
    <w:rsid w:val="009207A6"/>
    <w:rsid w:val="00B156A8"/>
    <w:rsid w:val="00B9730E"/>
    <w:rsid w:val="00C51E3D"/>
    <w:rsid w:val="00C56EC5"/>
    <w:rsid w:val="00C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9378"/>
  <w15:chartTrackingRefBased/>
  <w15:docId w15:val="{D179B59E-E407-4019-A440-E712FA96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48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506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11/trf.160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foglia</dc:creator>
  <cp:keywords/>
  <dc:description/>
  <cp:lastModifiedBy>ciro foglia</cp:lastModifiedBy>
  <cp:revision>3</cp:revision>
  <cp:lastPrinted>2021-03-07T18:26:00Z</cp:lastPrinted>
  <dcterms:created xsi:type="dcterms:W3CDTF">2021-03-07T14:54:00Z</dcterms:created>
  <dcterms:modified xsi:type="dcterms:W3CDTF">2021-03-07T18:55:00Z</dcterms:modified>
</cp:coreProperties>
</file>