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modelo escolhido foi o gemini-1.5-flash, importado diretamente do módulo google.generativeai. A escolha por importar o modelo via API no genai e não rodar localmente se deveu ao fato que nenhum dos modelos escolhidos do HuggingFace rodaram na minha máquina. Testei os seguintes modelos: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TinyLlama/TinyLlama-1.1B-Chat-v1.0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gpt2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all-MiniLM-L6-v2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meta-llama/Llama-3.1-8B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meta-llama/Llama-3.2-1B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distilbert-base-uncased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Todos eles deram erros variados de permissão, custo computacional inviável, erros na chamada da API, etc. Desta forma, optei pelo modelo Gemini que funcionou de forma razoável.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vantagens na utilização deste modelo são: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Desempenho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Capacidade de Processamento: Modelos como o Gemini-1.5-Flash são otimizados para rapidez e eficiência em geração de texto. Isso significa que o chatbot poderá responder rapidamente a perguntas sobre reciclagem, melhorando a experiência do usuário.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Treinamento em Domínios Diversificados: Ele tem uma base de treinamento ampla e adaptável, o que pode garantir uma compreensão contextual adequada para o tema de reciclagem, mesmo sem ajuste fino.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Qualidade de Resposta: O modelo equilibra bem a qualidade das respostas com a velocidade de geração, sendo capaz de fornecer informações úteis e consistentes.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Custo Computacional Local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Eficiência: Comparado a modelos maiores, o Gemini-1.5-Flash consome menos recursos de memória e processamento, tornando-o mais viável para ser executado localmente em máquinas com recursos limitados.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Hardware acessível: Pode rodar em GPUs moderadas ou até mesmo em CPUs potentes, eliminando a necessidade de infraestrutura de alto custo.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Sustentabilidade: A redução no consumo energético também é alinhada aos princípios de sustentabilidade, especialmente relevante para o contexto da aplicação.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Acessibilidade Local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Independência de Nuvem: O modelo pode ser implementado localmente, permitindo total controle sobre os dados, o que é vantajoso para aplicações sensíveis que lidam com dados específicos de usuários ou regiões.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Privacidade: A operação local garante que os dados dos usuários não sejam transmitidos para servidores externos, aumentando a confiança na aplicação.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Disponibilidade: Sem dependência de serviços externos, o chatbot pode continuar operando mesmo em locais com conectividade limitada à internet, aumentando a acessibilidade da aplicação.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