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Contract Review Memo</w:t>
      </w:r>
    </w:p>
    <w:p>
      <w:r>
        <w:rPr>
          <w:b/>
        </w:rPr>
        <w:t>Document: sample_msa.txt</w:t>
        <w:br/>
      </w:r>
      <w:r>
        <w:t>Document type: Master Services Agreement (Demo)</w:t>
        <w:br/>
      </w:r>
      <w:r>
        <w:t>Parties: Northwind Consulting LLC (Provider); Acme Retail Inc. (Client)</w:t>
        <w:br/>
      </w:r>
      <w:r>
        <w:t>Review date: 2026-07-16</w:t>
      </w:r>
    </w:p>
    <w:p>
      <w:pPr>
        <w:pStyle w:val="Heading1"/>
      </w:pPr>
      <w:r>
        <w:t>Executive Summary</w:t>
      </w:r>
    </w:p>
    <w:p>
      <w:r>
        <w:rPr>
          <w:b/>
          <w:color w:val="C01E1E"/>
          <w:sz w:val="26"/>
        </w:rPr>
        <w:t>Overall risk score: 8 / 10</w:t>
      </w:r>
    </w:p>
    <w:p>
      <w:r>
        <w:t>Northwind Consulting will provide software development services to Acme Retail under statements of work. The agreement auto-renews annually, pays net-90, assigns all work product (including pre-existing tools) to the client, and contains a one-sided indemnity with no liability cap for the provider. As drafted, it is strongly client-favorable.</w:t>
      </w:r>
    </w:p>
    <w:p>
      <w:pPr>
        <w:pStyle w:val="Heading1"/>
      </w:pPr>
      <w:r>
        <w:t>Risk Overview</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Risk</w:t>
            </w:r>
          </w:p>
        </w:tc>
        <w:tc>
          <w:tcPr>
            <w:tcW w:type="dxa" w:w="2880"/>
          </w:tcPr>
          <w:p>
            <w:r>
              <w:rPr>
                <w:b/>
              </w:rPr>
              <w:t>Location</w:t>
            </w:r>
          </w:p>
        </w:tc>
      </w:tr>
      <w:tr>
        <w:tc>
          <w:tcPr>
            <w:tcW w:type="dxa" w:w="2880"/>
          </w:tcPr>
          <w:p>
            <w:r>
              <w:t>Limitation of liability</w:t>
            </w:r>
          </w:p>
        </w:tc>
        <w:tc>
          <w:tcPr>
            <w:tcW w:type="dxa" w:w="2880"/>
          </w:tcPr>
          <w:p>
            <w:r>
              <w:rPr>
                <w:b/>
                <w:color w:val="C01E1E"/>
              </w:rPr>
              <w:t>HIGH</w:t>
            </w:r>
          </w:p>
        </w:tc>
        <w:tc>
          <w:tcPr>
            <w:tcW w:type="dxa" w:w="2880"/>
          </w:tcPr>
          <w:p>
            <w:r>
              <w:t>Section 9</w:t>
            </w:r>
          </w:p>
        </w:tc>
      </w:tr>
      <w:tr>
        <w:tc>
          <w:tcPr>
            <w:tcW w:type="dxa" w:w="2880"/>
          </w:tcPr>
          <w:p>
            <w:r>
              <w:t>Indemnification</w:t>
            </w:r>
          </w:p>
        </w:tc>
        <w:tc>
          <w:tcPr>
            <w:tcW w:type="dxa" w:w="2880"/>
          </w:tcPr>
          <w:p>
            <w:r>
              <w:rPr>
                <w:b/>
                <w:color w:val="C01E1E"/>
              </w:rPr>
              <w:t>HIGH</w:t>
            </w:r>
          </w:p>
        </w:tc>
        <w:tc>
          <w:tcPr>
            <w:tcW w:type="dxa" w:w="2880"/>
          </w:tcPr>
          <w:p>
            <w:r>
              <w:t>Section 10</w:t>
            </w:r>
          </w:p>
        </w:tc>
      </w:tr>
      <w:tr>
        <w:tc>
          <w:tcPr>
            <w:tcW w:type="dxa" w:w="2880"/>
          </w:tcPr>
          <w:p>
            <w:r>
              <w:t>Intellectual property</w:t>
            </w:r>
          </w:p>
        </w:tc>
        <w:tc>
          <w:tcPr>
            <w:tcW w:type="dxa" w:w="2880"/>
          </w:tcPr>
          <w:p>
            <w:r>
              <w:rPr>
                <w:b/>
                <w:color w:val="C01E1E"/>
              </w:rPr>
              <w:t>HIGH</w:t>
            </w:r>
          </w:p>
        </w:tc>
        <w:tc>
          <w:tcPr>
            <w:tcW w:type="dxa" w:w="2880"/>
          </w:tcPr>
          <w:p>
            <w:r>
              <w:t>Section 6</w:t>
            </w:r>
          </w:p>
        </w:tc>
      </w:tr>
      <w:tr>
        <w:tc>
          <w:tcPr>
            <w:tcW w:type="dxa" w:w="2880"/>
          </w:tcPr>
          <w:p>
            <w:r>
              <w:t>Payment terms</w:t>
            </w:r>
          </w:p>
        </w:tc>
        <w:tc>
          <w:tcPr>
            <w:tcW w:type="dxa" w:w="2880"/>
          </w:tcPr>
          <w:p>
            <w:r>
              <w:rPr>
                <w:b/>
                <w:color w:val="C86A00"/>
              </w:rPr>
              <w:t>MEDIUM</w:t>
            </w:r>
          </w:p>
        </w:tc>
        <w:tc>
          <w:tcPr>
            <w:tcW w:type="dxa" w:w="2880"/>
          </w:tcPr>
          <w:p>
            <w:r>
              <w:t>Section 4</w:t>
            </w:r>
          </w:p>
        </w:tc>
      </w:tr>
      <w:tr>
        <w:tc>
          <w:tcPr>
            <w:tcW w:type="dxa" w:w="2880"/>
          </w:tcPr>
          <w:p>
            <w:r>
              <w:t>Term, termination &amp; auto-renewal</w:t>
            </w:r>
          </w:p>
        </w:tc>
        <w:tc>
          <w:tcPr>
            <w:tcW w:type="dxa" w:w="2880"/>
          </w:tcPr>
          <w:p>
            <w:r>
              <w:rPr>
                <w:b/>
                <w:color w:val="C86A00"/>
              </w:rPr>
              <w:t>MEDIUM</w:t>
            </w:r>
          </w:p>
        </w:tc>
        <w:tc>
          <w:tcPr>
            <w:tcW w:type="dxa" w:w="2880"/>
          </w:tcPr>
          <w:p>
            <w:r>
              <w:t>Section 2</w:t>
            </w:r>
          </w:p>
        </w:tc>
      </w:tr>
      <w:tr>
        <w:tc>
          <w:tcPr>
            <w:tcW w:type="dxa" w:w="2880"/>
          </w:tcPr>
          <w:p>
            <w:r>
              <w:t>Governing law &amp; disputes</w:t>
            </w:r>
          </w:p>
        </w:tc>
        <w:tc>
          <w:tcPr>
            <w:tcW w:type="dxa" w:w="2880"/>
          </w:tcPr>
          <w:p>
            <w:r>
              <w:rPr>
                <w:b/>
                <w:color w:val="8A8A00"/>
              </w:rPr>
              <w:t>LOW</w:t>
            </w:r>
          </w:p>
        </w:tc>
        <w:tc>
          <w:tcPr>
            <w:tcW w:type="dxa" w:w="2880"/>
          </w:tcPr>
          <w:p>
            <w:r>
              <w:t>Section 12</w:t>
            </w:r>
          </w:p>
        </w:tc>
      </w:tr>
      <w:tr>
        <w:tc>
          <w:tcPr>
            <w:tcW w:type="dxa" w:w="2880"/>
          </w:tcPr>
          <w:p>
            <w:r>
              <w:t>Confidentiality</w:t>
            </w:r>
          </w:p>
        </w:tc>
        <w:tc>
          <w:tcPr>
            <w:tcW w:type="dxa" w:w="2880"/>
          </w:tcPr>
          <w:p>
            <w:r>
              <w:rPr>
                <w:b/>
                <w:color w:val="1E7A1E"/>
              </w:rPr>
              <w:t>OK</w:t>
            </w:r>
          </w:p>
        </w:tc>
        <w:tc>
          <w:tcPr>
            <w:tcW w:type="dxa" w:w="2880"/>
          </w:tcPr>
          <w:p>
            <w:r>
              <w:t>Section 7</w:t>
            </w:r>
          </w:p>
        </w:tc>
      </w:tr>
      <w:tr>
        <w:tc>
          <w:tcPr>
            <w:tcW w:type="dxa" w:w="2880"/>
          </w:tcPr>
          <w:p>
            <w:r>
              <w:t>Limitation on liquidated damages / SLA penalties</w:t>
            </w:r>
          </w:p>
        </w:tc>
        <w:tc>
          <w:tcPr>
            <w:tcW w:type="dxa" w:w="2880"/>
          </w:tcPr>
          <w:p>
            <w:r>
              <w:rPr>
                <w:b/>
                <w:color w:val="C86A00"/>
              </w:rPr>
              <w:t>MISSING (MEDIUM)</w:t>
            </w:r>
          </w:p>
        </w:tc>
        <w:tc>
          <w:tcPr>
            <w:tcW w:type="dxa" w:w="2880"/>
          </w:tcPr>
          <w:p>
            <w:r>
              <w:t>—</w:t>
            </w:r>
          </w:p>
        </w:tc>
      </w:tr>
      <w:tr>
        <w:tc>
          <w:tcPr>
            <w:tcW w:type="dxa" w:w="2880"/>
          </w:tcPr>
          <w:p>
            <w:r>
              <w:t>Force majeure</w:t>
            </w:r>
          </w:p>
        </w:tc>
        <w:tc>
          <w:tcPr>
            <w:tcW w:type="dxa" w:w="2880"/>
          </w:tcPr>
          <w:p>
            <w:r>
              <w:rPr>
                <w:b/>
                <w:color w:val="8A8A00"/>
              </w:rPr>
              <w:t>MISSING (LOW)</w:t>
            </w:r>
          </w:p>
        </w:tc>
        <w:tc>
          <w:tcPr>
            <w:tcW w:type="dxa" w:w="2880"/>
          </w:tcPr>
          <w:p>
            <w:r>
              <w:t>—</w:t>
            </w:r>
          </w:p>
        </w:tc>
      </w:tr>
    </w:tbl>
    <w:p>
      <w:pPr>
        <w:pStyle w:val="Heading1"/>
      </w:pPr>
      <w:r>
        <w:t>Detailed Findings</w:t>
      </w:r>
    </w:p>
    <w:p>
      <w:pPr>
        <w:pStyle w:val="Heading2"/>
      </w:pPr>
      <w:r>
        <w:rPr>
          <w:color w:val="C01E1E"/>
        </w:rPr>
        <w:t>Limitation of liability — HIGH</w:t>
      </w:r>
    </w:p>
    <w:p>
      <w:r>
        <w:t>Location: Section 9</w:t>
      </w:r>
    </w:p>
    <w:p>
      <w:r>
        <w:rPr>
          <w:i/>
        </w:rPr>
        <w:t>“Provider shall be liable for any and all damages arising out of or related to this Agreement, without limitation.”</w:t>
      </w:r>
    </w:p>
    <w:p>
      <w:r>
        <w:rPr>
          <w:b/>
        </w:rPr>
        <w:t xml:space="preserve">Issue: </w:t>
      </w:r>
      <w:r>
        <w:t>Provider's liability is unlimited while the client's exposure is not addressed. This is far outside market norms.</w:t>
      </w:r>
    </w:p>
    <w:p>
      <w:r>
        <w:rPr>
          <w:b/>
        </w:rPr>
        <w:t xml:space="preserve">Recommendation: </w:t>
      </w:r>
      <w:r>
        <w:t>Cap Provider's aggregate liability and exclude consequential damages; make the cap mutual.</w:t>
      </w:r>
    </w:p>
    <w:p>
      <w:r>
        <w:rPr>
          <w:b/>
        </w:rPr>
        <w:t xml:space="preserve">Suggested redline: </w:t>
      </w:r>
      <w:r>
        <w:t>Except for breaches of confidentiality or IP infringement, each party's aggregate liability under this Agreement shall not exceed the fees paid or payable in the twelve (12) months preceding the claim. Neither party shall be liable for indirect, incidental, or consequential damages.</w:t>
      </w:r>
    </w:p>
    <w:p>
      <w:pPr>
        <w:pStyle w:val="Heading2"/>
      </w:pPr>
      <w:r>
        <w:rPr>
          <w:color w:val="C01E1E"/>
        </w:rPr>
        <w:t>Indemnification — HIGH</w:t>
      </w:r>
    </w:p>
    <w:p>
      <w:r>
        <w:t>Location: Section 10</w:t>
      </w:r>
    </w:p>
    <w:p>
      <w:r>
        <w:rPr>
          <w:i/>
        </w:rPr>
        <w:t>“Provider shall indemnify, defend, and hold harmless Client from any and all claims arising from the Services.”</w:t>
      </w:r>
    </w:p>
    <w:p>
      <w:r>
        <w:rPr>
          <w:b/>
        </w:rPr>
        <w:t xml:space="preserve">Issue: </w:t>
      </w:r>
      <w:r>
        <w:t>One-way indemnity covering 'any and all claims' — not limited to third-party claims or Provider's fault.</w:t>
      </w:r>
    </w:p>
    <w:p>
      <w:r>
        <w:rPr>
          <w:b/>
        </w:rPr>
        <w:t xml:space="preserve">Recommendation: </w:t>
      </w:r>
      <w:r>
        <w:t>Narrow to third-party claims caused by Provider's negligence or IP infringement; add a reciprocal indemnity from Client.</w:t>
      </w:r>
    </w:p>
    <w:p>
      <w:r>
        <w:rPr>
          <w:b/>
        </w:rPr>
        <w:t xml:space="preserve">Suggested redline: </w:t>
      </w:r>
      <w:r>
        <w:t>Each party shall indemnify the other against third-party claims to the extent arising from the indemnifying party's gross negligence, willful misconduct, or infringement of third-party intellectual property rights.</w:t>
      </w:r>
    </w:p>
    <w:p>
      <w:pPr>
        <w:pStyle w:val="Heading2"/>
      </w:pPr>
      <w:r>
        <w:rPr>
          <w:color w:val="C01E1E"/>
        </w:rPr>
        <w:t>Intellectual property — HIGH</w:t>
      </w:r>
    </w:p>
    <w:p>
      <w:r>
        <w:t>Location: Section 6</w:t>
      </w:r>
    </w:p>
    <w:p>
      <w:r>
        <w:rPr>
          <w:i/>
        </w:rPr>
        <w:t>“All work product, including Provider's pre-existing tools, libraries, and methodologies, shall be the sole property of Client.”</w:t>
      </w:r>
    </w:p>
    <w:p>
      <w:r>
        <w:rPr>
          <w:b/>
        </w:rPr>
        <w:t xml:space="preserve">Issue: </w:t>
      </w:r>
      <w:r>
        <w:t>Assignment sweeps in Provider's pre-existing IP and reusable tools, which would prevent reuse with other clients.</w:t>
      </w:r>
    </w:p>
    <w:p>
      <w:r>
        <w:rPr>
          <w:b/>
        </w:rPr>
        <w:t xml:space="preserve">Recommendation: </w:t>
      </w:r>
      <w:r>
        <w:t>Carve out pre-existing and generally reusable IP; grant Client a license to it instead.</w:t>
      </w:r>
    </w:p>
    <w:p>
      <w:r>
        <w:rPr>
          <w:b/>
        </w:rPr>
        <w:t xml:space="preserve">Suggested redline: </w:t>
      </w:r>
      <w:r>
        <w:t>Deliverables created specifically for Client are assigned to Client upon full payment. Provider retains all pre-existing and generally applicable IP, and grants Client a perpetual, non-exclusive license to such IP as embedded in the Deliverables.</w:t>
      </w:r>
    </w:p>
    <w:p>
      <w:pPr>
        <w:pStyle w:val="Heading2"/>
      </w:pPr>
      <w:r>
        <w:rPr>
          <w:color w:val="C86A00"/>
        </w:rPr>
        <w:t>Payment terms — MEDIUM</w:t>
      </w:r>
    </w:p>
    <w:p>
      <w:r>
        <w:t>Location: Section 4</w:t>
      </w:r>
    </w:p>
    <w:p>
      <w:r>
        <w:rPr>
          <w:i/>
        </w:rPr>
        <w:t>“Client shall pay undisputed invoices within ninety (90) days of receipt.”</w:t>
      </w:r>
    </w:p>
    <w:p>
      <w:r>
        <w:rPr>
          <w:b/>
        </w:rPr>
        <w:t xml:space="preserve">Issue: </w:t>
      </w:r>
      <w:r>
        <w:t>Net-90 is unusually long and shifts financing cost onto the Provider.</w:t>
      </w:r>
    </w:p>
    <w:p>
      <w:r>
        <w:rPr>
          <w:b/>
        </w:rPr>
        <w:t xml:space="preserve">Recommendation: </w:t>
      </w:r>
      <w:r>
        <w:t>Negotiate net-30 (net-45 at most) and add late-payment interest.</w:t>
      </w:r>
    </w:p>
    <w:p>
      <w:r>
        <w:rPr>
          <w:b/>
        </w:rPr>
        <w:t xml:space="preserve">Suggested redline: </w:t>
      </w:r>
      <w:r>
        <w:t>Client shall pay undisputed invoices within thirty (30) days of receipt. Late amounts accrue interest at 1.5% per month or the maximum rate permitted by law, whichever is lower.</w:t>
      </w:r>
    </w:p>
    <w:p>
      <w:pPr>
        <w:pStyle w:val="Heading2"/>
      </w:pPr>
      <w:r>
        <w:rPr>
          <w:color w:val="C86A00"/>
        </w:rPr>
        <w:t>Term, termination &amp; auto-renewal — MEDIUM</w:t>
      </w:r>
    </w:p>
    <w:p>
      <w:r>
        <w:t>Location: Section 2</w:t>
      </w:r>
    </w:p>
    <w:p>
      <w:r>
        <w:rPr>
          <w:i/>
        </w:rPr>
        <w:t>“This Agreement shall automatically renew for successive one-year terms unless either party gives notice at least one hundred twenty (120) days prior to expiration.”</w:t>
      </w:r>
    </w:p>
    <w:p>
      <w:r>
        <w:rPr>
          <w:b/>
        </w:rPr>
        <w:t xml:space="preserve">Issue: </w:t>
      </w:r>
      <w:r>
        <w:t>Auto-renewal with a 120-day notice window is easy to miss; Client may also terminate for convenience on 10 days' notice while Provider cannot.</w:t>
      </w:r>
    </w:p>
    <w:p>
      <w:r>
        <w:rPr>
          <w:b/>
        </w:rPr>
        <w:t xml:space="preserve">Recommendation: </w:t>
      </w:r>
      <w:r>
        <w:t>Shorten the non-renewal notice to 30-60 days and make termination-for-convenience rights mutual with a longer notice period.</w:t>
      </w:r>
    </w:p>
    <w:p>
      <w:r>
        <w:rPr>
          <w:b/>
        </w:rPr>
        <w:t xml:space="preserve">Suggested redline: </w:t>
      </w:r>
      <w:r>
        <w:t>Either party may elect not to renew by written notice at least sixty (60) days before the end of the then-current term. Either party may terminate for convenience on thirty (30) days' written notice.</w:t>
      </w:r>
    </w:p>
    <w:p>
      <w:pPr>
        <w:pStyle w:val="Heading2"/>
      </w:pPr>
      <w:r>
        <w:rPr>
          <w:color w:val="8A8A00"/>
        </w:rPr>
        <w:t>Governing law &amp; disputes — LOW</w:t>
      </w:r>
    </w:p>
    <w:p>
      <w:r>
        <w:t>Location: Section 12</w:t>
      </w:r>
    </w:p>
    <w:p>
      <w:r>
        <w:rPr>
          <w:i/>
        </w:rPr>
        <w:t>“This Agreement shall be governed by the laws of the State of Delaware. Exclusive venue shall lie in the state and federal courts located in Wilmington, Delaware.”</w:t>
      </w:r>
    </w:p>
    <w:p>
      <w:r>
        <w:rPr>
          <w:b/>
        </w:rPr>
        <w:t xml:space="preserve">Issue: </w:t>
      </w:r>
      <w:r>
        <w:t>Delaware law is common, but exclusive venue may be inconvenient if Provider is located elsewhere.</w:t>
      </w:r>
    </w:p>
    <w:p>
      <w:r>
        <w:rPr>
          <w:b/>
        </w:rPr>
        <w:t xml:space="preserve">Recommendation: </w:t>
      </w:r>
      <w:r>
        <w:t>Acceptable for most deals; consider neutral venue or arbitration if litigation cost is a concern.</w:t>
      </w:r>
    </w:p>
    <w:p>
      <w:pPr>
        <w:pStyle w:val="Heading2"/>
      </w:pPr>
      <w:r>
        <w:rPr>
          <w:color w:val="1E7A1E"/>
        </w:rPr>
        <w:t>Confidentiality — OK</w:t>
      </w:r>
    </w:p>
    <w:p>
      <w:r>
        <w:t>Location: Section 7</w:t>
      </w:r>
    </w:p>
    <w:p>
      <w:r>
        <w:rPr>
          <w:i/>
        </w:rPr>
        <w:t>“Each party shall protect the other's Confidential Information using reasonable care.”</w:t>
      </w:r>
    </w:p>
    <w:p>
      <w:r>
        <w:rPr>
          <w:b/>
        </w:rPr>
        <w:t xml:space="preserve">Issue: </w:t>
      </w:r>
      <w:r>
        <w:t>Mutual confidentiality with a reasonable-care standard; consistent with market practice.</w:t>
      </w:r>
    </w:p>
    <w:p>
      <w:r>
        <w:rPr>
          <w:b/>
        </w:rPr>
        <w:t xml:space="preserve">Recommendation: </w:t>
      </w:r>
      <w:r>
        <w:t>No change required.</w:t>
      </w:r>
    </w:p>
    <w:p>
      <w:pPr>
        <w:pStyle w:val="Heading1"/>
      </w:pPr>
      <w:r>
        <w:t>Missing Provisions</w:t>
      </w:r>
    </w:p>
    <w:p>
      <w:pPr>
        <w:pStyle w:val="Heading2"/>
      </w:pPr>
      <w:r>
        <w:rPr>
          <w:color w:val="C86A00"/>
        </w:rPr>
        <w:t>Limitation on liquidated damages / SLA penalties — MISSING (MEDIUM)</w:t>
      </w:r>
    </w:p>
    <w:p>
      <w:r>
        <w:rPr>
          <w:b/>
        </w:rPr>
        <w:t xml:space="preserve">Why it matters: </w:t>
      </w:r>
      <w:r>
        <w:t>Without express language, service-level credits or delay penalties could be argued as uncapped damages.</w:t>
      </w:r>
    </w:p>
    <w:p>
      <w:r>
        <w:rPr>
          <w:b/>
        </w:rPr>
        <w:t xml:space="preserve">Suggested language: </w:t>
      </w:r>
      <w:r>
        <w:t>Service credits set forth in an applicable SOW are Client's sole and exclusive remedy for the service failures they address.</w:t>
      </w:r>
    </w:p>
    <w:p>
      <w:pPr>
        <w:pStyle w:val="Heading2"/>
      </w:pPr>
      <w:r>
        <w:rPr>
          <w:color w:val="8A8A00"/>
        </w:rPr>
        <w:t>Force majeure — MISSING (LOW)</w:t>
      </w:r>
    </w:p>
    <w:p>
      <w:r>
        <w:rPr>
          <w:b/>
        </w:rPr>
        <w:t xml:space="preserve">Why it matters: </w:t>
      </w:r>
      <w:r>
        <w:t>Neither party is excused for delays caused by events beyond reasonable control.</w:t>
      </w:r>
    </w:p>
    <w:p>
      <w:r>
        <w:rPr>
          <w:b/>
        </w:rPr>
        <w:t xml:space="preserve">Suggested language: </w:t>
      </w:r>
      <w:r>
        <w:t>Neither party shall be liable for delay or failure to perform (other than payment obligations) caused by events beyond its reasonable control, provided it gives prompt notice and uses reasonable efforts to resume performance.</w:t>
      </w:r>
    </w:p>
    <w:p>
      <w:pPr>
        <w:pStyle w:val="Heading1"/>
      </w:pPr>
      <w:r>
        <w:t>Important Notice</w:t>
      </w:r>
    </w:p>
    <w:p>
      <w:r>
        <w:rPr>
          <w:i/>
          <w:sz w:val="18"/>
        </w:rPr>
        <w:t>This report was generated with AI assistance and is provided for informational purposes only. It is not legal advice, may contain errors or omissions, and does not create an attorney-client relationship. A qualified attorney must review the underlying document before any decision is made in reliance on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