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B54743" w:rsidRPr="00B54743" w14:paraId="0586F4EB" w14:textId="77777777" w:rsidTr="00B54743">
        <w:tc>
          <w:tcPr>
            <w:tcW w:w="2590" w:type="dxa"/>
            <w:shd w:val="clear" w:color="auto" w:fill="F2CEED" w:themeFill="accent5" w:themeFillTint="33"/>
          </w:tcPr>
          <w:p w14:paraId="4D363355" w14:textId="4EFE8F67" w:rsidR="00B54743" w:rsidRPr="00B54743" w:rsidRDefault="00B54743" w:rsidP="00B54743">
            <w:pPr>
              <w:spacing w:before="120" w:after="120"/>
              <w:rPr>
                <w:b/>
                <w:bCs/>
              </w:rPr>
            </w:pPr>
            <w:r w:rsidRPr="00B54743">
              <w:rPr>
                <w:b/>
                <w:bCs/>
              </w:rPr>
              <w:t>Competitor name</w:t>
            </w:r>
          </w:p>
        </w:tc>
        <w:tc>
          <w:tcPr>
            <w:tcW w:w="2590" w:type="dxa"/>
            <w:shd w:val="clear" w:color="auto" w:fill="F2CEED" w:themeFill="accent5" w:themeFillTint="33"/>
          </w:tcPr>
          <w:p w14:paraId="335C3519" w14:textId="345FC2A8" w:rsidR="00B54743" w:rsidRPr="00B54743" w:rsidRDefault="00B54743" w:rsidP="00B54743">
            <w:pPr>
              <w:spacing w:before="120" w:after="120"/>
              <w:rPr>
                <w:b/>
                <w:bCs/>
              </w:rPr>
            </w:pPr>
            <w:r w:rsidRPr="00B54743">
              <w:rPr>
                <w:b/>
                <w:bCs/>
              </w:rPr>
              <w:t xml:space="preserve">Strengths </w:t>
            </w:r>
          </w:p>
        </w:tc>
        <w:tc>
          <w:tcPr>
            <w:tcW w:w="2590" w:type="dxa"/>
            <w:shd w:val="clear" w:color="auto" w:fill="F2CEED" w:themeFill="accent5" w:themeFillTint="33"/>
          </w:tcPr>
          <w:p w14:paraId="736DC52A" w14:textId="240AD838" w:rsidR="00B54743" w:rsidRPr="00B54743" w:rsidRDefault="00B54743" w:rsidP="00B54743">
            <w:pPr>
              <w:spacing w:before="120" w:after="120"/>
              <w:rPr>
                <w:b/>
                <w:bCs/>
              </w:rPr>
            </w:pPr>
            <w:r w:rsidRPr="00B54743">
              <w:rPr>
                <w:b/>
                <w:bCs/>
              </w:rPr>
              <w:t>Weaknesses</w:t>
            </w:r>
          </w:p>
        </w:tc>
        <w:tc>
          <w:tcPr>
            <w:tcW w:w="2590" w:type="dxa"/>
            <w:shd w:val="clear" w:color="auto" w:fill="F2CEED" w:themeFill="accent5" w:themeFillTint="33"/>
          </w:tcPr>
          <w:p w14:paraId="5531C83B" w14:textId="58DB9EE2" w:rsidR="00B54743" w:rsidRPr="00B54743" w:rsidRDefault="00B54743" w:rsidP="00B54743">
            <w:pPr>
              <w:spacing w:before="120" w:after="120"/>
              <w:rPr>
                <w:b/>
                <w:bCs/>
              </w:rPr>
            </w:pPr>
            <w:r w:rsidRPr="00B54743">
              <w:rPr>
                <w:b/>
                <w:bCs/>
              </w:rPr>
              <w:t>Competition values</w:t>
            </w:r>
          </w:p>
        </w:tc>
        <w:tc>
          <w:tcPr>
            <w:tcW w:w="2590" w:type="dxa"/>
            <w:shd w:val="clear" w:color="auto" w:fill="F2CEED" w:themeFill="accent5" w:themeFillTint="33"/>
          </w:tcPr>
          <w:p w14:paraId="71DB4F87" w14:textId="2BC8D28B" w:rsidR="00B54743" w:rsidRPr="00B54743" w:rsidRDefault="00B54743" w:rsidP="00B54743">
            <w:pPr>
              <w:spacing w:before="120" w:after="120"/>
              <w:rPr>
                <w:b/>
                <w:bCs/>
              </w:rPr>
            </w:pPr>
            <w:r w:rsidRPr="00B54743">
              <w:rPr>
                <w:b/>
                <w:bCs/>
              </w:rPr>
              <w:t>Opportunities</w:t>
            </w:r>
          </w:p>
        </w:tc>
      </w:tr>
      <w:tr w:rsidR="00B54743" w:rsidRPr="00273E46" w14:paraId="1667F568" w14:textId="77777777" w:rsidTr="00B54743">
        <w:tc>
          <w:tcPr>
            <w:tcW w:w="2590" w:type="dxa"/>
          </w:tcPr>
          <w:p w14:paraId="483E6419" w14:textId="0317750C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b/>
                <w:bCs/>
                <w:sz w:val="20"/>
                <w:szCs w:val="20"/>
              </w:rPr>
              <w:t>Existing CNH control / HMI</w:t>
            </w:r>
          </w:p>
        </w:tc>
        <w:tc>
          <w:tcPr>
            <w:tcW w:w="2590" w:type="dxa"/>
          </w:tcPr>
          <w:p w14:paraId="00A627FF" w14:textId="77777777" w:rsidR="00273E46" w:rsidRPr="00273E46" w:rsidRDefault="00273E46" w:rsidP="00273E46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Already integrated with the oven</w:t>
            </w:r>
          </w:p>
          <w:p w14:paraId="0159139E" w14:textId="77777777" w:rsidR="00273E46" w:rsidRPr="00273E46" w:rsidRDefault="00273E46" w:rsidP="00273E46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Reliable real-time control and safety functions</w:t>
            </w:r>
          </w:p>
          <w:p w14:paraId="1C92FF35" w14:textId="77777777" w:rsidR="00B54743" w:rsidRPr="00273E46" w:rsidRDefault="00B54743" w:rsidP="00273E46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1296DD7F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Primarily operates/displays the process</w:t>
            </w:r>
          </w:p>
          <w:p w14:paraId="40BC1386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Does not diagnose the identified energy loss</w:t>
            </w:r>
          </w:p>
          <w:p w14:paraId="4E554BDA" w14:textId="77777777" w:rsidR="00B54743" w:rsidRPr="00273E46" w:rsidRDefault="00B54743" w:rsidP="00B54743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394BBB7E" w14:textId="1EC39772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•Safe, proven oven operation</w:t>
            </w:r>
          </w:p>
        </w:tc>
        <w:tc>
          <w:tcPr>
            <w:tcW w:w="2590" w:type="dxa"/>
          </w:tcPr>
          <w:p w14:paraId="2964ADB0" w14:textId="4CDAC299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Add a higher-level energy-analysis layer without replacing existing controls</w:t>
            </w:r>
          </w:p>
        </w:tc>
      </w:tr>
      <w:tr w:rsidR="00B54743" w:rsidRPr="00273E46" w14:paraId="6ADDEA76" w14:textId="77777777" w:rsidTr="00B54743">
        <w:tc>
          <w:tcPr>
            <w:tcW w:w="2590" w:type="dxa"/>
          </w:tcPr>
          <w:p w14:paraId="716D51A8" w14:textId="58A6755E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b/>
                <w:bCs/>
                <w:sz w:val="20"/>
                <w:szCs w:val="20"/>
              </w:rPr>
              <w:t>Current historical energy-loss estimate</w:t>
            </w:r>
          </w:p>
        </w:tc>
        <w:tc>
          <w:tcPr>
            <w:tcW w:w="2590" w:type="dxa"/>
          </w:tcPr>
          <w:p w14:paraId="6634BD18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Already indicates that a significant loss exists</w:t>
            </w:r>
          </w:p>
          <w:p w14:paraId="1047280A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Uses information CNH already has</w:t>
            </w:r>
          </w:p>
          <w:p w14:paraId="09E2930B" w14:textId="77777777" w:rsidR="00B54743" w:rsidRPr="00273E46" w:rsidRDefault="00B54743" w:rsidP="00B54743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73211619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Retrospective and high-level</w:t>
            </w:r>
          </w:p>
          <w:p w14:paraId="5759B9E9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Does not show when or under what conditions excess use occurs</w:t>
            </w:r>
          </w:p>
          <w:p w14:paraId="542FCDF5" w14:textId="77777777" w:rsidR="00B54743" w:rsidRPr="00273E46" w:rsidRDefault="00B54743" w:rsidP="00B54743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48FD1C5A" w14:textId="5095B173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•Establishes the business problem and baseline</w:t>
            </w:r>
          </w:p>
        </w:tc>
        <w:tc>
          <w:tcPr>
            <w:tcW w:w="2590" w:type="dxa"/>
          </w:tcPr>
          <w:p w14:paraId="31357533" w14:textId="26DCA2F3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Move toward condition-based, repeatable analysis using process data</w:t>
            </w:r>
          </w:p>
        </w:tc>
      </w:tr>
      <w:tr w:rsidR="00B54743" w:rsidRPr="00273E46" w14:paraId="7D4D42E4" w14:textId="77777777" w:rsidTr="00B54743">
        <w:tc>
          <w:tcPr>
            <w:tcW w:w="2590" w:type="dxa"/>
          </w:tcPr>
          <w:p w14:paraId="71D6C4B3" w14:textId="46962D3D" w:rsidR="00B54743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b/>
                <w:bCs/>
                <w:sz w:val="20"/>
                <w:szCs w:val="20"/>
              </w:rPr>
              <w:t>Manual East-vs-West comparison</w:t>
            </w:r>
          </w:p>
        </w:tc>
        <w:tc>
          <w:tcPr>
            <w:tcW w:w="2590" w:type="dxa"/>
          </w:tcPr>
          <w:p w14:paraId="10A15D08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West oven is a relevant internal reference</w:t>
            </w:r>
          </w:p>
          <w:p w14:paraId="197AA3FF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Easy for engineers to understand</w:t>
            </w:r>
          </w:p>
          <w:p w14:paraId="5744EF7A" w14:textId="77777777" w:rsidR="00B54743" w:rsidRPr="00273E46" w:rsidRDefault="00B54743" w:rsidP="00B54743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0AA3FD1B" w14:textId="1B3C2D98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Raw comparisons may be misleading if production conditions differ</w:t>
            </w:r>
          </w:p>
        </w:tc>
        <w:tc>
          <w:tcPr>
            <w:tcW w:w="2590" w:type="dxa"/>
          </w:tcPr>
          <w:p w14:paraId="5031A9DB" w14:textId="5E58EA5A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Provides an internal benchmark</w:t>
            </w:r>
          </w:p>
        </w:tc>
        <w:tc>
          <w:tcPr>
            <w:tcW w:w="2590" w:type="dxa"/>
          </w:tcPr>
          <w:p w14:paraId="1C4E277A" w14:textId="7C9C283D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Normalize comparisons for temperature, conveyor speed, load and other conditions</w:t>
            </w:r>
          </w:p>
        </w:tc>
      </w:tr>
      <w:tr w:rsidR="00B54743" w:rsidRPr="00273E46" w14:paraId="34D48059" w14:textId="77777777" w:rsidTr="00B54743">
        <w:tc>
          <w:tcPr>
            <w:tcW w:w="2590" w:type="dxa"/>
          </w:tcPr>
          <w:p w14:paraId="21E6C368" w14:textId="452D54A2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b/>
                <w:bCs/>
                <w:sz w:val="20"/>
                <w:szCs w:val="20"/>
              </w:rPr>
              <w:t>Siemens SIMATIC Energy Manager</w:t>
            </w:r>
          </w:p>
        </w:tc>
        <w:tc>
          <w:tcPr>
            <w:tcW w:w="2590" w:type="dxa"/>
          </w:tcPr>
          <w:p w14:paraId="5475D923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Mature industrial energy-management platform</w:t>
            </w:r>
          </w:p>
          <w:p w14:paraId="481803A8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Scalable monitoring, analysis and benchmarking</w:t>
            </w:r>
          </w:p>
          <w:p w14:paraId="2CE32AF9" w14:textId="77777777" w:rsidR="00B54743" w:rsidRPr="00273E46" w:rsidRDefault="00B54743" w:rsidP="00B54743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5D9993CE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Broader platform than this single-oven problem</w:t>
            </w:r>
          </w:p>
          <w:p w14:paraId="67C83135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Requires configuration/integration for the plant context</w:t>
            </w:r>
          </w:p>
          <w:p w14:paraId="21F46328" w14:textId="77777777" w:rsidR="00B54743" w:rsidRPr="00273E46" w:rsidRDefault="00B54743" w:rsidP="00B54743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378CC10F" w14:textId="4645B70C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Production-grade energy transparency and reporting</w:t>
            </w:r>
          </w:p>
        </w:tc>
        <w:tc>
          <w:tcPr>
            <w:tcW w:w="2590" w:type="dxa"/>
          </w:tcPr>
          <w:p w14:paraId="2DD739E3" w14:textId="37E8F9A1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Build a focused CNH-specific proof-of-concept tied directly to the East-oven investigation</w:t>
            </w:r>
          </w:p>
        </w:tc>
      </w:tr>
      <w:tr w:rsidR="00B54743" w:rsidRPr="00273E46" w14:paraId="0CA350A1" w14:textId="77777777" w:rsidTr="00B54743">
        <w:tc>
          <w:tcPr>
            <w:tcW w:w="2590" w:type="dxa"/>
          </w:tcPr>
          <w:p w14:paraId="3FB35F03" w14:textId="10E9AA3C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b/>
                <w:bCs/>
                <w:sz w:val="20"/>
                <w:szCs w:val="20"/>
              </w:rPr>
              <w:t>Rockwell FactoryTalk Energy Manager</w:t>
            </w:r>
          </w:p>
        </w:tc>
        <w:tc>
          <w:tcPr>
            <w:tcW w:w="2590" w:type="dxa"/>
          </w:tcPr>
          <w:p w14:paraId="08137C39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Industrial energy baselining</w:t>
            </w:r>
          </w:p>
          <w:p w14:paraId="6E91599E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lastRenderedPageBreak/>
              <w:t>• Can compare actual energy use with expected values</w:t>
            </w:r>
          </w:p>
          <w:p w14:paraId="5F50DC71" w14:textId="77777777" w:rsidR="00B54743" w:rsidRPr="00273E46" w:rsidRDefault="00B54743" w:rsidP="00B54743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666AF54B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lastRenderedPageBreak/>
              <w:t>• Commercial system with broader deployment scope</w:t>
            </w:r>
          </w:p>
          <w:p w14:paraId="3051293F" w14:textId="77777777" w:rsidR="00273E46" w:rsidRPr="00273E46" w:rsidRDefault="00273E46" w:rsidP="00273E46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lastRenderedPageBreak/>
              <w:t>• Plant integration and configuration would still be required</w:t>
            </w:r>
          </w:p>
          <w:p w14:paraId="3C25B989" w14:textId="77777777" w:rsidR="00B54743" w:rsidRPr="00273E46" w:rsidRDefault="00B54743" w:rsidP="00B54743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0E4B987C" w14:textId="39B2C7AD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lastRenderedPageBreak/>
              <w:t>• Production-ready energy analytics</w:t>
            </w:r>
          </w:p>
        </w:tc>
        <w:tc>
          <w:tcPr>
            <w:tcW w:w="2590" w:type="dxa"/>
          </w:tcPr>
          <w:p w14:paraId="05258D1D" w14:textId="08234975" w:rsidR="00B54743" w:rsidRPr="00273E46" w:rsidRDefault="00273E46" w:rsidP="00B54743">
            <w:pPr>
              <w:spacing w:before="120" w:after="120"/>
              <w:rPr>
                <w:sz w:val="20"/>
                <w:szCs w:val="20"/>
              </w:rPr>
            </w:pPr>
            <w:r w:rsidRPr="00273E46">
              <w:rPr>
                <w:sz w:val="20"/>
                <w:szCs w:val="20"/>
              </w:rPr>
              <w:t>• Test what data, models and engineering insights are useful before any larger implementation decision</w:t>
            </w:r>
          </w:p>
        </w:tc>
      </w:tr>
    </w:tbl>
    <w:p w14:paraId="11081548" w14:textId="77777777" w:rsidR="00B61FC7" w:rsidRPr="00273E46" w:rsidRDefault="00B61FC7">
      <w:pPr>
        <w:rPr>
          <w:sz w:val="20"/>
          <w:szCs w:val="20"/>
        </w:rPr>
      </w:pPr>
    </w:p>
    <w:sectPr w:rsidR="00B61FC7" w:rsidRPr="00273E46" w:rsidSect="00B5474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43"/>
    <w:rsid w:val="000867B6"/>
    <w:rsid w:val="00273E46"/>
    <w:rsid w:val="0062686B"/>
    <w:rsid w:val="007242D4"/>
    <w:rsid w:val="0095291A"/>
    <w:rsid w:val="00965C2B"/>
    <w:rsid w:val="00974348"/>
    <w:rsid w:val="00B54743"/>
    <w:rsid w:val="00B61FC7"/>
    <w:rsid w:val="00C12389"/>
    <w:rsid w:val="00F0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0441"/>
  <w15:chartTrackingRefBased/>
  <w15:docId w15:val="{A21B6BF8-04FB-5348-98F7-0746B0AA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Maciag</dc:creator>
  <cp:keywords/>
  <dc:description/>
  <cp:lastModifiedBy>Cirus Chakma</cp:lastModifiedBy>
  <cp:revision>2</cp:revision>
  <dcterms:created xsi:type="dcterms:W3CDTF">2026-09-08T01:55:00Z</dcterms:created>
  <dcterms:modified xsi:type="dcterms:W3CDTF">2026-09-23T11:33:00Z</dcterms:modified>
</cp:coreProperties>
</file>