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3B050" w14:textId="77777777" w:rsidR="004D2E5D" w:rsidRPr="00362A62" w:rsidRDefault="00000000">
      <w:pPr>
        <w:spacing w:before="200" w:after="60"/>
        <w:rPr>
          <w:b/>
          <w:bCs/>
          <w:sz w:val="32"/>
          <w:szCs w:val="32"/>
        </w:rPr>
      </w:pPr>
      <w:r>
        <w:rPr>
          <w:b/>
          <w:bCs/>
          <w:sz w:val="32"/>
          <w:szCs w:val="32"/>
        </w:rPr>
        <w:t>DELIVERABLE 1</w:t>
      </w:r>
    </w:p>
    <w:p w14:paraId="20AFB093" w14:textId="77777777" w:rsidR="00362A62" w:rsidRDefault="00000000" w:rsidP="003025F5">
      <w:pPr>
        <w:spacing w:after="80"/>
        <w:jc w:val="center"/>
        <w:rPr>
          <w:b/>
          <w:bCs/>
          <w:sz w:val="32"/>
          <w:szCs w:val="32"/>
        </w:rPr>
      </w:pPr>
      <w:r>
        <w:rPr>
          <w:b/>
          <w:bCs/>
          <w:sz w:val="32"/>
          <w:szCs w:val="32"/>
        </w:rPr>
        <w:t>Research Definition</w:t>
      </w:r>
    </w:p>
    <w:p w14:paraId="0F15C422" w14:textId="77777777" w:rsidR="00362A62" w:rsidRDefault="00362A62" w:rsidP="00362A62">
      <w:pPr>
        <w:spacing w:after="80"/>
        <w:rPr>
          <w:b/>
          <w:bCs/>
          <w:sz w:val="32"/>
          <w:szCs w:val="32"/>
        </w:rPr>
      </w:pPr>
    </w:p>
    <w:p w14:paraId="5111FFD4" w14:textId="77777777" w:rsidR="004D2E5D" w:rsidRPr="00362A62" w:rsidRDefault="00000000" w:rsidP="00362A62">
      <w:pPr>
        <w:pStyle w:val="Prrafodelista"/>
        <w:keepNext/>
        <w:numPr>
          <w:ilvl w:val="0"/>
          <w:numId w:val="6"/>
        </w:numPr>
        <w:spacing w:after="80"/>
        <w:rPr>
          <w:b/>
          <w:bCs/>
        </w:rPr>
      </w:pPr>
      <w:r>
        <w:rPr>
          <w:b/>
          <w:bCs/>
        </w:rPr>
        <w:t>Paradigm: Design Science</w:t>
      </w:r>
    </w:p>
    <w:p w14:paraId="3A9039B0" w14:textId="77777777" w:rsidR="00362A62" w:rsidRPr="00362A62" w:rsidRDefault="00362A62" w:rsidP="00362A62">
      <w:pPr>
        <w:pStyle w:val="Prrafodelista"/>
        <w:keepNext/>
        <w:spacing w:after="80"/>
        <w:ind w:left="720"/>
        <w:rPr>
          <w:b/>
          <w:bCs/>
          <w:sz w:val="18"/>
          <w:szCs w:val="18"/>
        </w:rPr>
      </w:pPr>
    </w:p>
    <w:p w14:paraId="4A01EE54" w14:textId="77777777" w:rsidR="004D2E5D" w:rsidRPr="00362A62" w:rsidRDefault="00000000" w:rsidP="00362A62">
      <w:pPr>
        <w:spacing w:after="120" w:line="276" w:lineRule="auto"/>
        <w:ind w:firstLine="360"/>
        <w:jc w:val="both"/>
      </w:pPr>
      <w:r>
        <w:t>This research adopts the Design Science paradigm (Simon, 1996; Hevner et al., 2004). In this paradigm, knowledge is produced by building and evaluating an artifact that solves a relevant problem, and the artifact itself is the contribution.</w:t>
      </w:r>
    </w:p>
    <w:p w14:paraId="4720DABE" w14:textId="77777777" w:rsidR="004D2E5D" w:rsidRPr="00362A62" w:rsidRDefault="00000000">
      <w:pPr>
        <w:spacing w:after="120" w:line="276" w:lineRule="auto"/>
        <w:jc w:val="both"/>
      </w:pPr>
      <w:r>
        <w:t xml:space="preserve">The proposal fits this paradigm because the underlying question is not "do LLM-based agents violate procedures?", which is already documented. The question is "can we build an architecture that prevents those violations in a verifiable way?". </w:t>
      </w:r>
    </w:p>
    <w:p w14:paraId="527476C6" w14:textId="77777777" w:rsidR="00F1283D" w:rsidRDefault="00F1283D">
      <w:pPr>
        <w:spacing w:after="120" w:line="276" w:lineRule="auto"/>
        <w:jc w:val="both"/>
      </w:pPr>
    </w:p>
    <w:p w14:paraId="58FD7C45" w14:textId="77777777" w:rsidR="004D2E5D" w:rsidRDefault="00000000" w:rsidP="00362A62">
      <w:pPr>
        <w:pStyle w:val="Prrafodelista"/>
        <w:numPr>
          <w:ilvl w:val="1"/>
          <w:numId w:val="6"/>
        </w:numPr>
        <w:spacing w:after="80"/>
        <w:rPr>
          <w:b/>
          <w:bCs/>
        </w:rPr>
      </w:pPr>
      <w:r>
        <w:rPr>
          <w:b/>
          <w:bCs/>
        </w:rPr>
        <w:t>Explicit rejection of the alternative paradigms</w:t>
      </w:r>
    </w:p>
    <w:p w14:paraId="0F9543F4" w14:textId="77777777" w:rsidR="00362A62" w:rsidRPr="00362A62" w:rsidRDefault="00362A62" w:rsidP="00362A62">
      <w:pPr>
        <w:pStyle w:val="Prrafodelista"/>
        <w:spacing w:after="80"/>
        <w:ind w:left="1080"/>
        <w:rPr>
          <w:b/>
          <w:bCs/>
        </w:rPr>
      </w:pPr>
    </w:p>
    <w:p w14:paraId="6C5C95CB" w14:textId="77777777" w:rsidR="004D2E5D" w:rsidRDefault="00000000" w:rsidP="003025F5">
      <w:pPr>
        <w:pStyle w:val="Prrafodelista"/>
        <w:numPr>
          <w:ilvl w:val="0"/>
          <w:numId w:val="2"/>
        </w:numPr>
        <w:spacing w:after="80" w:line="276" w:lineRule="auto"/>
        <w:jc w:val="both"/>
      </w:pPr>
      <w:r>
        <w:rPr>
          <w:b/>
          <w:bCs/>
        </w:rPr>
        <w:t>Pure positivism.</w:t>
      </w:r>
      <w:r>
        <w:t xml:space="preserve"> Precisely measuring the violation rate of current agents would describe the problem, but it would not produce the architecture that solves it. The knowledge sought by the thesis lies in the artifact and its design principles, not in a population estimate.</w:t>
      </w:r>
    </w:p>
    <w:p w14:paraId="36EB88C1" w14:textId="77777777" w:rsidR="004D2E5D" w:rsidRDefault="00000000" w:rsidP="003025F5">
      <w:pPr>
        <w:pStyle w:val="Prrafodelista"/>
        <w:numPr>
          <w:ilvl w:val="0"/>
          <w:numId w:val="2"/>
        </w:numPr>
        <w:spacing w:after="80" w:line="276" w:lineRule="auto"/>
        <w:jc w:val="both"/>
      </w:pPr>
      <w:r>
        <w:rPr>
          <w:b/>
          <w:bCs/>
        </w:rPr>
        <w:t>Interpretivism.</w:t>
      </w:r>
      <w:r>
        <w:t xml:space="preserve"> The central problem is not how claims analysts experience automation. It is whether a technical system can guarantee procedural compliance. Without measurement, it cannot be claimed that the architecture reduces violations, and neither an insurer nor a regulator would accept an autonomous system based solely on interview evidence.</w:t>
      </w:r>
    </w:p>
    <w:p w14:paraId="04EA1F45" w14:textId="77777777" w:rsidR="004D2E5D" w:rsidRDefault="00000000" w:rsidP="003025F5">
      <w:pPr>
        <w:pStyle w:val="Prrafodelista"/>
        <w:numPr>
          <w:ilvl w:val="0"/>
          <w:numId w:val="2"/>
        </w:numPr>
        <w:spacing w:after="80" w:line="276" w:lineRule="auto"/>
        <w:jc w:val="both"/>
      </w:pPr>
      <w:r>
        <w:rPr>
          <w:b/>
          <w:bCs/>
        </w:rPr>
        <w:t>Mixed methods.</w:t>
      </w:r>
      <w:r>
        <w:t xml:space="preserve"> A qualitative phase would change neither the design of the artifact nor its main evaluation. It would add months without better answering the design question. Organizational acceptance remains a line of future research.</w:t>
      </w:r>
    </w:p>
    <w:p w14:paraId="24BE54AA" w14:textId="77777777" w:rsidR="003B6FB2" w:rsidRDefault="003B6FB2">
      <w:pPr>
        <w:spacing w:after="80" w:line="276" w:lineRule="auto"/>
      </w:pPr>
    </w:p>
    <w:p w14:paraId="34C2B2E2" w14:textId="77777777" w:rsidR="003B6FB2" w:rsidRDefault="00000000">
      <w:pPr>
        <w:pStyle w:val="Prrafodelista"/>
        <w:keepNext/>
        <w:numPr>
          <w:ilvl w:val="1"/>
          <w:numId w:val="6"/>
        </w:numPr>
        <w:spacing w:after="80"/>
        <w:rPr>
          <w:b/>
          <w:bCs/>
        </w:rPr>
      </w:pPr>
      <w:r>
        <w:rPr>
          <w:b/>
          <w:bCs/>
        </w:rPr>
        <w:t>Paradigm justification: the four paradigmatic questions</w:t>
      </w:r>
    </w:p>
    <w:p w14:paraId="2C5559A0" w14:textId="77777777" w:rsidR="003B6FB2" w:rsidRDefault="003B6FB2">
      <w:pPr>
        <w:pStyle w:val="Prrafodelista"/>
        <w:spacing w:after="80"/>
        <w:ind w:left="1080"/>
        <w:rPr>
          <w:b/>
          <w:bCs/>
        </w:rPr>
      </w:pPr>
    </w:p>
    <w:p w14:paraId="2574763C" w14:textId="6A4910F8" w:rsidR="003B6FB2" w:rsidRDefault="005643E3" w:rsidP="005643E3">
      <w:pPr>
        <w:keepNext/>
        <w:spacing w:after="120" w:line="276" w:lineRule="auto"/>
        <w:ind w:firstLine="708"/>
        <w:jc w:val="both"/>
      </w:pPr>
      <w:r>
        <w:t xml:space="preserve">The choice of paradigm is justified by explicitly answering the four questions that constitute its foundation: ontology, epistemology, methodology, and axiology. In class, each question was contrasted between the positivist and the interpretivist answer.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2150"/>
        <w:gridCol w:w="2150"/>
        <w:gridCol w:w="3638"/>
      </w:tblGrid>
      <w:tr w:rsidR="003B6FB2" w14:paraId="5BDE9ADC" w14:textId="77777777">
        <w:trPr>
          <w:cantSplit/>
          <w:tblHeader/>
        </w:trPr>
        <w:tc>
          <w:tcPr>
            <w:tcW w:w="1700" w:type="dxa"/>
            <w:tcBorders>
              <w:top w:val="single" w:sz="4" w:space="0" w:color="B8C4D6"/>
              <w:left w:val="single" w:sz="4" w:space="0" w:color="B8C4D6"/>
              <w:bottom w:val="single" w:sz="4" w:space="0" w:color="B8C4D6"/>
              <w:right w:val="single" w:sz="4" w:space="0" w:color="B8C4D6"/>
            </w:tcBorders>
            <w:shd w:val="clear" w:color="auto" w:fill="21345C"/>
            <w:tcMar>
              <w:top w:w="70" w:type="dxa"/>
              <w:left w:w="100" w:type="dxa"/>
              <w:bottom w:w="70" w:type="dxa"/>
              <w:right w:w="100" w:type="dxa"/>
            </w:tcMar>
            <w:vAlign w:val="center"/>
          </w:tcPr>
          <w:p w14:paraId="7FE8A6CC" w14:textId="77777777" w:rsidR="003B6FB2" w:rsidRDefault="00000000">
            <w:pPr>
              <w:spacing w:after="40" w:line="252" w:lineRule="auto"/>
              <w:jc w:val="center"/>
            </w:pPr>
            <w:r>
              <w:rPr>
                <w:b/>
                <w:bCs/>
                <w:color w:val="FFFFFF"/>
                <w:sz w:val="19"/>
                <w:szCs w:val="19"/>
              </w:rPr>
              <w:t>Question</w:t>
            </w:r>
          </w:p>
        </w:tc>
        <w:tc>
          <w:tcPr>
            <w:tcW w:w="2150" w:type="dxa"/>
            <w:tcBorders>
              <w:top w:val="single" w:sz="4" w:space="0" w:color="B8C4D6"/>
              <w:left w:val="single" w:sz="4" w:space="0" w:color="B8C4D6"/>
              <w:bottom w:val="single" w:sz="4" w:space="0" w:color="B8C4D6"/>
              <w:right w:val="single" w:sz="4" w:space="0" w:color="B8C4D6"/>
            </w:tcBorders>
            <w:shd w:val="clear" w:color="auto" w:fill="21345C"/>
            <w:tcMar>
              <w:top w:w="70" w:type="dxa"/>
              <w:left w:w="100" w:type="dxa"/>
              <w:bottom w:w="70" w:type="dxa"/>
              <w:right w:w="100" w:type="dxa"/>
            </w:tcMar>
            <w:vAlign w:val="center"/>
          </w:tcPr>
          <w:p w14:paraId="1B53D97F" w14:textId="77777777" w:rsidR="003B6FB2" w:rsidRDefault="00000000">
            <w:pPr>
              <w:spacing w:after="40" w:line="252" w:lineRule="auto"/>
              <w:jc w:val="center"/>
            </w:pPr>
            <w:r>
              <w:rPr>
                <w:b/>
                <w:bCs/>
                <w:color w:val="FFFFFF"/>
                <w:sz w:val="19"/>
                <w:szCs w:val="19"/>
              </w:rPr>
              <w:t>Positivist answer</w:t>
            </w:r>
          </w:p>
        </w:tc>
        <w:tc>
          <w:tcPr>
            <w:tcW w:w="2150" w:type="dxa"/>
            <w:tcBorders>
              <w:top w:val="single" w:sz="4" w:space="0" w:color="B8C4D6"/>
              <w:left w:val="single" w:sz="4" w:space="0" w:color="B8C4D6"/>
              <w:bottom w:val="single" w:sz="4" w:space="0" w:color="B8C4D6"/>
              <w:right w:val="single" w:sz="4" w:space="0" w:color="B8C4D6"/>
            </w:tcBorders>
            <w:shd w:val="clear" w:color="auto" w:fill="21345C"/>
            <w:tcMar>
              <w:top w:w="70" w:type="dxa"/>
              <w:left w:w="100" w:type="dxa"/>
              <w:bottom w:w="70" w:type="dxa"/>
              <w:right w:w="100" w:type="dxa"/>
            </w:tcMar>
            <w:vAlign w:val="center"/>
          </w:tcPr>
          <w:p w14:paraId="7ACB9A80" w14:textId="77777777" w:rsidR="003B6FB2" w:rsidRDefault="00000000">
            <w:pPr>
              <w:spacing w:after="40" w:line="252" w:lineRule="auto"/>
              <w:jc w:val="center"/>
            </w:pPr>
            <w:r>
              <w:rPr>
                <w:b/>
                <w:bCs/>
                <w:color w:val="FFFFFF"/>
                <w:sz w:val="19"/>
                <w:szCs w:val="19"/>
              </w:rPr>
              <w:t>Interpretivist answer</w:t>
            </w:r>
          </w:p>
        </w:tc>
        <w:tc>
          <w:tcPr>
            <w:tcW w:w="3638" w:type="dxa"/>
            <w:tcBorders>
              <w:top w:val="single" w:sz="4" w:space="0" w:color="B8C4D6"/>
              <w:left w:val="single" w:sz="4" w:space="0" w:color="B8C4D6"/>
              <w:bottom w:val="single" w:sz="4" w:space="0" w:color="B8C4D6"/>
              <w:right w:val="single" w:sz="4" w:space="0" w:color="B8C4D6"/>
            </w:tcBorders>
            <w:shd w:val="clear" w:color="auto" w:fill="21345C"/>
            <w:tcMar>
              <w:top w:w="70" w:type="dxa"/>
              <w:left w:w="100" w:type="dxa"/>
              <w:bottom w:w="70" w:type="dxa"/>
              <w:right w:w="100" w:type="dxa"/>
            </w:tcMar>
            <w:vAlign w:val="center"/>
          </w:tcPr>
          <w:p w14:paraId="6FF317A2" w14:textId="77777777" w:rsidR="003B6FB2" w:rsidRDefault="00000000">
            <w:pPr>
              <w:spacing w:after="40" w:line="252" w:lineRule="auto"/>
              <w:jc w:val="center"/>
            </w:pPr>
            <w:r>
              <w:rPr>
                <w:b/>
                <w:bCs/>
                <w:color w:val="FFFFFF"/>
                <w:sz w:val="19"/>
                <w:szCs w:val="19"/>
              </w:rPr>
              <w:t>Design Science (this research)</w:t>
            </w:r>
          </w:p>
        </w:tc>
      </w:tr>
      <w:tr w:rsidR="003B6FB2" w14:paraId="7D460450" w14:textId="77777777">
        <w:trPr>
          <w:cantSplit/>
        </w:trPr>
        <w:tc>
          <w:tcPr>
            <w:tcW w:w="1700" w:type="dxa"/>
            <w:tcBorders>
              <w:top w:val="single" w:sz="4" w:space="0" w:color="B8C4D6"/>
              <w:left w:val="single" w:sz="4" w:space="0" w:color="B8C4D6"/>
              <w:bottom w:val="single" w:sz="4" w:space="0" w:color="B8C4D6"/>
              <w:right w:val="single" w:sz="4" w:space="0" w:color="B8C4D6"/>
            </w:tcBorders>
            <w:shd w:val="clear" w:color="auto" w:fill="EEF3F9"/>
            <w:tcMar>
              <w:top w:w="70" w:type="dxa"/>
              <w:left w:w="100" w:type="dxa"/>
              <w:bottom w:w="70" w:type="dxa"/>
              <w:right w:w="100" w:type="dxa"/>
            </w:tcMar>
          </w:tcPr>
          <w:p w14:paraId="05E7D140" w14:textId="77777777" w:rsidR="003B6FB2" w:rsidRDefault="00000000">
            <w:pPr>
              <w:spacing w:after="40" w:line="252" w:lineRule="auto"/>
            </w:pPr>
            <w:r>
              <w:rPr>
                <w:b/>
                <w:bCs/>
                <w:sz w:val="19"/>
                <w:szCs w:val="19"/>
              </w:rPr>
              <w:t>Ontology: what is real?</w:t>
            </w:r>
          </w:p>
        </w:tc>
        <w:tc>
          <w:tcPr>
            <w:tcW w:w="215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29534A3C" w14:textId="77777777" w:rsidR="003B6FB2" w:rsidRDefault="00000000">
            <w:pPr>
              <w:spacing w:after="40" w:line="252" w:lineRule="auto"/>
            </w:pPr>
            <w:r>
              <w:rPr>
                <w:sz w:val="19"/>
                <w:szCs w:val="19"/>
              </w:rPr>
              <w:t>A single objective reality</w:t>
            </w:r>
          </w:p>
        </w:tc>
        <w:tc>
          <w:tcPr>
            <w:tcW w:w="215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7B53AC4C" w14:textId="77777777" w:rsidR="003B6FB2" w:rsidRDefault="00000000">
            <w:pPr>
              <w:spacing w:after="40" w:line="252" w:lineRule="auto"/>
            </w:pPr>
            <w:r>
              <w:rPr>
                <w:sz w:val="19"/>
                <w:szCs w:val="19"/>
              </w:rPr>
              <w:t>Multiple socially constructed realities</w:t>
            </w:r>
          </w:p>
        </w:tc>
        <w:tc>
          <w:tcPr>
            <w:tcW w:w="3638"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5405CAE8" w14:textId="77777777" w:rsidR="003B6FB2" w:rsidRDefault="00000000">
            <w:pPr>
              <w:spacing w:after="40" w:line="252" w:lineRule="auto"/>
            </w:pPr>
            <w:r>
              <w:rPr>
                <w:sz w:val="19"/>
                <w:szCs w:val="19"/>
              </w:rPr>
              <w:t>States of the world that can be transformed through artifacts; reality includes the natural, the social, and the artificial</w:t>
            </w:r>
          </w:p>
        </w:tc>
      </w:tr>
      <w:tr w:rsidR="003B6FB2" w14:paraId="13BC912C" w14:textId="77777777">
        <w:trPr>
          <w:cantSplit/>
        </w:trPr>
        <w:tc>
          <w:tcPr>
            <w:tcW w:w="1700" w:type="dxa"/>
            <w:tcBorders>
              <w:top w:val="single" w:sz="4" w:space="0" w:color="B8C4D6"/>
              <w:left w:val="single" w:sz="4" w:space="0" w:color="B8C4D6"/>
              <w:bottom w:val="single" w:sz="4" w:space="0" w:color="B8C4D6"/>
              <w:right w:val="single" w:sz="4" w:space="0" w:color="B8C4D6"/>
            </w:tcBorders>
            <w:shd w:val="clear" w:color="auto" w:fill="EEF3F9"/>
            <w:tcMar>
              <w:top w:w="70" w:type="dxa"/>
              <w:left w:w="100" w:type="dxa"/>
              <w:bottom w:w="70" w:type="dxa"/>
              <w:right w:w="100" w:type="dxa"/>
            </w:tcMar>
          </w:tcPr>
          <w:p w14:paraId="02206FB2" w14:textId="77777777" w:rsidR="003B6FB2" w:rsidRDefault="00000000">
            <w:pPr>
              <w:spacing w:after="40" w:line="252" w:lineRule="auto"/>
            </w:pPr>
            <w:r>
              <w:rPr>
                <w:b/>
                <w:bCs/>
                <w:sz w:val="19"/>
                <w:szCs w:val="19"/>
              </w:rPr>
              <w:t>Epistemology: how do we know?</w:t>
            </w:r>
          </w:p>
        </w:tc>
        <w:tc>
          <w:tcPr>
            <w:tcW w:w="215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3169B23E" w14:textId="77777777" w:rsidR="003B6FB2" w:rsidRDefault="00000000">
            <w:pPr>
              <w:spacing w:after="40" w:line="252" w:lineRule="auto"/>
            </w:pPr>
            <w:r>
              <w:rPr>
                <w:sz w:val="19"/>
                <w:szCs w:val="19"/>
              </w:rPr>
              <w:t>Objective and neutral measurement</w:t>
            </w:r>
          </w:p>
        </w:tc>
        <w:tc>
          <w:tcPr>
            <w:tcW w:w="215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3EE7BF4E" w14:textId="77777777" w:rsidR="003B6FB2" w:rsidRDefault="00000000">
            <w:pPr>
              <w:spacing w:after="40" w:line="252" w:lineRule="auto"/>
            </w:pPr>
            <w:r>
              <w:rPr>
                <w:sz w:val="19"/>
                <w:szCs w:val="19"/>
              </w:rPr>
              <w:t>Deep understanding of meaning</w:t>
            </w:r>
          </w:p>
        </w:tc>
        <w:tc>
          <w:tcPr>
            <w:tcW w:w="3638"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5BA2E874" w14:textId="77777777" w:rsidR="003B6FB2" w:rsidRDefault="00000000">
            <w:pPr>
              <w:spacing w:after="40" w:line="252" w:lineRule="auto"/>
            </w:pPr>
            <w:r>
              <w:rPr>
                <w:sz w:val="19"/>
                <w:szCs w:val="19"/>
              </w:rPr>
              <w:t>Knowing through making: the artifact and its rigorous evaluation constitute the evidence</w:t>
            </w:r>
          </w:p>
        </w:tc>
      </w:tr>
      <w:tr w:rsidR="003B6FB2" w14:paraId="49B677E9" w14:textId="77777777">
        <w:trPr>
          <w:cantSplit/>
        </w:trPr>
        <w:tc>
          <w:tcPr>
            <w:tcW w:w="1700" w:type="dxa"/>
            <w:tcBorders>
              <w:top w:val="single" w:sz="4" w:space="0" w:color="B8C4D6"/>
              <w:left w:val="single" w:sz="4" w:space="0" w:color="B8C4D6"/>
              <w:bottom w:val="single" w:sz="4" w:space="0" w:color="B8C4D6"/>
              <w:right w:val="single" w:sz="4" w:space="0" w:color="B8C4D6"/>
            </w:tcBorders>
            <w:shd w:val="clear" w:color="auto" w:fill="EEF3F9"/>
            <w:tcMar>
              <w:top w:w="70" w:type="dxa"/>
              <w:left w:w="100" w:type="dxa"/>
              <w:bottom w:w="70" w:type="dxa"/>
              <w:right w:w="100" w:type="dxa"/>
            </w:tcMar>
          </w:tcPr>
          <w:p w14:paraId="4419EF18" w14:textId="77777777" w:rsidR="003B6FB2" w:rsidRDefault="00000000">
            <w:pPr>
              <w:spacing w:after="40" w:line="252" w:lineRule="auto"/>
            </w:pPr>
            <w:r>
              <w:rPr>
                <w:b/>
                <w:bCs/>
                <w:sz w:val="19"/>
                <w:szCs w:val="19"/>
              </w:rPr>
              <w:t>Methodology: what procedure?</w:t>
            </w:r>
          </w:p>
        </w:tc>
        <w:tc>
          <w:tcPr>
            <w:tcW w:w="215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31F648B5" w14:textId="77777777" w:rsidR="003B6FB2" w:rsidRDefault="00000000">
            <w:pPr>
              <w:spacing w:after="40" w:line="252" w:lineRule="auto"/>
            </w:pPr>
            <w:r>
              <w:rPr>
                <w:sz w:val="19"/>
                <w:szCs w:val="19"/>
              </w:rPr>
              <w:t>Experiments, surveys, and statistics</w:t>
            </w:r>
          </w:p>
        </w:tc>
        <w:tc>
          <w:tcPr>
            <w:tcW w:w="215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50500B30" w14:textId="77777777" w:rsidR="003B6FB2" w:rsidRDefault="00000000">
            <w:pPr>
              <w:spacing w:after="40" w:line="252" w:lineRule="auto"/>
            </w:pPr>
            <w:r>
              <w:rPr>
                <w:sz w:val="19"/>
                <w:szCs w:val="19"/>
              </w:rPr>
              <w:t>Interviews, ethnography, and case studies</w:t>
            </w:r>
          </w:p>
        </w:tc>
        <w:tc>
          <w:tcPr>
            <w:tcW w:w="3638"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29CA1C90" w14:textId="77777777" w:rsidR="003B6FB2" w:rsidRDefault="00000000">
            <w:pPr>
              <w:spacing w:after="40" w:line="252" w:lineRule="auto"/>
            </w:pPr>
            <w:r>
              <w:rPr>
                <w:sz w:val="19"/>
                <w:szCs w:val="19"/>
              </w:rPr>
              <w:t>Build-evaluate cycles (DSRM) with experimental and naturalistic evaluation</w:t>
            </w:r>
          </w:p>
        </w:tc>
      </w:tr>
      <w:tr w:rsidR="003B6FB2" w14:paraId="2394BED0" w14:textId="77777777">
        <w:trPr>
          <w:cantSplit/>
        </w:trPr>
        <w:tc>
          <w:tcPr>
            <w:tcW w:w="1700" w:type="dxa"/>
            <w:tcBorders>
              <w:top w:val="single" w:sz="4" w:space="0" w:color="B8C4D6"/>
              <w:left w:val="single" w:sz="4" w:space="0" w:color="B8C4D6"/>
              <w:bottom w:val="single" w:sz="4" w:space="0" w:color="B8C4D6"/>
              <w:right w:val="single" w:sz="4" w:space="0" w:color="B8C4D6"/>
            </w:tcBorders>
            <w:shd w:val="clear" w:color="auto" w:fill="EEF3F9"/>
            <w:tcMar>
              <w:top w:w="70" w:type="dxa"/>
              <w:left w:w="100" w:type="dxa"/>
              <w:bottom w:w="70" w:type="dxa"/>
              <w:right w:w="100" w:type="dxa"/>
            </w:tcMar>
          </w:tcPr>
          <w:p w14:paraId="7822F6F0" w14:textId="77777777" w:rsidR="003B6FB2" w:rsidRDefault="00000000">
            <w:pPr>
              <w:spacing w:after="40" w:line="252" w:lineRule="auto"/>
            </w:pPr>
            <w:r>
              <w:rPr>
                <w:b/>
                <w:bCs/>
                <w:sz w:val="19"/>
                <w:szCs w:val="19"/>
              </w:rPr>
              <w:t>Axiology: what do we value?</w:t>
            </w:r>
          </w:p>
        </w:tc>
        <w:tc>
          <w:tcPr>
            <w:tcW w:w="215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70685876" w14:textId="77777777" w:rsidR="003B6FB2" w:rsidRDefault="00000000">
            <w:pPr>
              <w:spacing w:after="40" w:line="252" w:lineRule="auto"/>
            </w:pPr>
            <w:r>
              <w:rPr>
                <w:sz w:val="19"/>
                <w:szCs w:val="19"/>
              </w:rPr>
              <w:t>Neutrality and generalizable truth</w:t>
            </w:r>
          </w:p>
        </w:tc>
        <w:tc>
          <w:tcPr>
            <w:tcW w:w="2150"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6E1689B2" w14:textId="77777777" w:rsidR="003B6FB2" w:rsidRDefault="00000000">
            <w:pPr>
              <w:spacing w:after="40" w:line="252" w:lineRule="auto"/>
            </w:pPr>
            <w:r>
              <w:rPr>
                <w:sz w:val="19"/>
                <w:szCs w:val="19"/>
              </w:rPr>
              <w:t>Justice, voice, and contextual truth</w:t>
            </w:r>
          </w:p>
        </w:tc>
        <w:tc>
          <w:tcPr>
            <w:tcW w:w="3638"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71AD61FB" w14:textId="77777777" w:rsidR="003B6FB2" w:rsidRDefault="00000000">
            <w:pPr>
              <w:spacing w:after="40" w:line="252" w:lineRule="auto"/>
            </w:pPr>
            <w:r>
              <w:rPr>
                <w:sz w:val="19"/>
                <w:szCs w:val="19"/>
              </w:rPr>
              <w:t>Utility, improvement, and risk control, with ethics embedded in the design</w:t>
            </w:r>
          </w:p>
        </w:tc>
      </w:tr>
    </w:tbl>
    <w:p w14:paraId="313FA624" w14:textId="77777777" w:rsidR="005643E3" w:rsidRDefault="005643E3" w:rsidP="005643E3">
      <w:pPr>
        <w:pStyle w:val="Prrafodelista"/>
        <w:keepNext/>
        <w:spacing w:after="80"/>
        <w:ind w:left="1800"/>
        <w:rPr>
          <w:b/>
          <w:bCs/>
        </w:rPr>
      </w:pPr>
    </w:p>
    <w:p w14:paraId="0496C3B7" w14:textId="54079ACC" w:rsidR="003B6FB2" w:rsidRPr="005643E3" w:rsidRDefault="00000000" w:rsidP="005643E3">
      <w:pPr>
        <w:pStyle w:val="Prrafodelista"/>
        <w:keepNext/>
        <w:numPr>
          <w:ilvl w:val="2"/>
          <w:numId w:val="6"/>
        </w:numPr>
        <w:spacing w:after="80"/>
        <w:rPr>
          <w:b/>
          <w:bCs/>
        </w:rPr>
      </w:pPr>
      <w:r>
        <w:rPr>
          <w:b/>
          <w:bCs/>
        </w:rPr>
        <w:t xml:space="preserve"> Ontology</w:t>
      </w:r>
    </w:p>
    <w:p w14:paraId="26DEF6CF" w14:textId="77777777" w:rsidR="003B6FB2" w:rsidRDefault="00000000" w:rsidP="005643E3">
      <w:pPr>
        <w:keepNext/>
        <w:spacing w:after="120" w:line="276" w:lineRule="auto"/>
        <w:ind w:left="708" w:firstLine="372"/>
        <w:jc w:val="both"/>
      </w:pPr>
      <w:r>
        <w:t>In this research, three types of reality coexist, and the thesis takes an explicit position regarding each of them:</w:t>
      </w:r>
    </w:p>
    <w:p w14:paraId="52AF26EF" w14:textId="77777777" w:rsidR="003B6FB2" w:rsidRDefault="00000000" w:rsidP="005643E3">
      <w:pPr>
        <w:pStyle w:val="Prrafodelista"/>
        <w:numPr>
          <w:ilvl w:val="0"/>
          <w:numId w:val="2"/>
        </w:numPr>
        <w:spacing w:after="80" w:line="276" w:lineRule="auto"/>
        <w:jc w:val="both"/>
      </w:pPr>
      <w:r>
        <w:rPr>
          <w:b/>
          <w:bCs/>
        </w:rPr>
        <w:t>The process as it actually occurs is an objective reality.</w:t>
      </w:r>
      <w:r>
        <w:t xml:space="preserve"> Claims, the activities executed, and their sequences exist independently of the researcher and are recorded in event logs. Whether a payment was executed without prior approval is a verifiable fact, not an interpretation.</w:t>
      </w:r>
    </w:p>
    <w:p w14:paraId="24758075" w14:textId="77777777" w:rsidR="003B6FB2" w:rsidRDefault="00000000" w:rsidP="005643E3">
      <w:pPr>
        <w:pStyle w:val="Prrafodelista"/>
        <w:numPr>
          <w:ilvl w:val="0"/>
          <w:numId w:val="2"/>
        </w:numPr>
        <w:spacing w:after="80" w:line="276" w:lineRule="auto"/>
        <w:jc w:val="both"/>
      </w:pPr>
      <w:r>
        <w:rPr>
          <w:b/>
          <w:bCs/>
        </w:rPr>
        <w:t>The norm that defines what is correct is a social construction.</w:t>
      </w:r>
      <w:r>
        <w:t xml:space="preserve"> Process rules are established by the regulator, the company, and the process owners, and different actors may disagree about which exceptions are legitimate.</w:t>
      </w:r>
    </w:p>
    <w:p w14:paraId="4ACDD5FB" w14:textId="77777777" w:rsidR="003B6FB2" w:rsidRDefault="00000000" w:rsidP="005643E3">
      <w:pPr>
        <w:pStyle w:val="Prrafodelista"/>
        <w:numPr>
          <w:ilvl w:val="0"/>
          <w:numId w:val="2"/>
        </w:numPr>
        <w:spacing w:after="80" w:line="276" w:lineRule="auto"/>
        <w:jc w:val="both"/>
      </w:pPr>
      <w:r>
        <w:rPr>
          <w:b/>
          <w:bCs/>
        </w:rPr>
        <w:t>The artifact is an artificial reality</w:t>
      </w:r>
      <w:r>
        <w:t xml:space="preserve"> in Simon’s (1996) sense. The verifiable architecture does not exist before it is built and, once introduced, it creates a new state of the world: a process executed by agents whose behavior is constrained.</w:t>
      </w:r>
    </w:p>
    <w:p w14:paraId="5596D0FA" w14:textId="77777777" w:rsidR="003B6FB2" w:rsidRDefault="00000000" w:rsidP="005643E3">
      <w:pPr>
        <w:spacing w:after="120" w:line="276" w:lineRule="auto"/>
        <w:ind w:left="708" w:firstLine="312"/>
        <w:jc w:val="both"/>
      </w:pPr>
      <w:r>
        <w:t>Consequently, the thesis does not claim that there is a single correct form of the process. It claims that, once the catalog of hard constraints has been established and validated with the process owners, compliance with or violation of those constraints is objectively observable. This operational definition avoids treating compliance as an objective property without specification, and it is consistent with the ontology of Design Science, according to which reality is not only described but transformed through technological intervention (Vaishnavi &amp; Kuechler, 2015).</w:t>
      </w:r>
    </w:p>
    <w:p w14:paraId="408829A7" w14:textId="77777777" w:rsidR="005643E3" w:rsidRDefault="005643E3" w:rsidP="005643E3">
      <w:pPr>
        <w:spacing w:after="120" w:line="276" w:lineRule="auto"/>
        <w:ind w:left="708" w:firstLine="312"/>
        <w:jc w:val="both"/>
      </w:pPr>
    </w:p>
    <w:p w14:paraId="15DBFC03" w14:textId="4B4B64B0" w:rsidR="003B6FB2" w:rsidRDefault="00000000" w:rsidP="005643E3">
      <w:pPr>
        <w:pStyle w:val="Prrafodelista"/>
        <w:keepNext/>
        <w:numPr>
          <w:ilvl w:val="2"/>
          <w:numId w:val="6"/>
        </w:numPr>
        <w:spacing w:after="80"/>
      </w:pPr>
      <w:r>
        <w:rPr>
          <w:b/>
          <w:bCs/>
        </w:rPr>
        <w:t>Epistemology</w:t>
      </w:r>
    </w:p>
    <w:p w14:paraId="79D0B0A7" w14:textId="22D7B10C" w:rsidR="003B6FB2" w:rsidRDefault="00000000" w:rsidP="005643E3">
      <w:pPr>
        <w:spacing w:after="120" w:line="276" w:lineRule="auto"/>
        <w:ind w:left="708" w:firstLine="372"/>
        <w:jc w:val="both"/>
      </w:pPr>
      <w:r>
        <w:t>The epistemology of Design Science is knowing through making. Valid knowledge comprises an artifact that works, rigorous evidence that it solves the problem in its context, and design principles that explain why it works. The central criterion is not descriptive truth but demonstrated utility (Iivari, 2007).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3869"/>
        <w:gridCol w:w="3869"/>
      </w:tblGrid>
      <w:tr w:rsidR="003B6FB2" w14:paraId="437EAB04" w14:textId="77777777">
        <w:trPr>
          <w:cantSplit/>
          <w:tblHeader/>
        </w:trPr>
        <w:tc>
          <w:tcPr>
            <w:tcW w:w="1900" w:type="dxa"/>
            <w:tcBorders>
              <w:top w:val="single" w:sz="4" w:space="0" w:color="B8C4D6"/>
              <w:left w:val="single" w:sz="4" w:space="0" w:color="B8C4D6"/>
              <w:bottom w:val="single" w:sz="4" w:space="0" w:color="B8C4D6"/>
              <w:right w:val="single" w:sz="4" w:space="0" w:color="B8C4D6"/>
            </w:tcBorders>
            <w:shd w:val="clear" w:color="auto" w:fill="21345C"/>
            <w:tcMar>
              <w:top w:w="70" w:type="dxa"/>
              <w:left w:w="100" w:type="dxa"/>
              <w:bottom w:w="70" w:type="dxa"/>
              <w:right w:w="100" w:type="dxa"/>
            </w:tcMar>
            <w:vAlign w:val="center"/>
          </w:tcPr>
          <w:p w14:paraId="561600E9" w14:textId="77777777" w:rsidR="003B6FB2" w:rsidRDefault="00000000">
            <w:pPr>
              <w:spacing w:after="40" w:line="252" w:lineRule="auto"/>
              <w:jc w:val="center"/>
            </w:pPr>
            <w:r>
              <w:rPr>
                <w:b/>
                <w:bCs/>
                <w:color w:val="FFFFFF"/>
                <w:sz w:val="19"/>
                <w:szCs w:val="19"/>
              </w:rPr>
              <w:t>Type of evidence</w:t>
            </w:r>
          </w:p>
        </w:tc>
        <w:tc>
          <w:tcPr>
            <w:tcW w:w="3869" w:type="dxa"/>
            <w:tcBorders>
              <w:top w:val="single" w:sz="4" w:space="0" w:color="B8C4D6"/>
              <w:left w:val="single" w:sz="4" w:space="0" w:color="B8C4D6"/>
              <w:bottom w:val="single" w:sz="4" w:space="0" w:color="B8C4D6"/>
              <w:right w:val="single" w:sz="4" w:space="0" w:color="B8C4D6"/>
            </w:tcBorders>
            <w:shd w:val="clear" w:color="auto" w:fill="21345C"/>
            <w:tcMar>
              <w:top w:w="70" w:type="dxa"/>
              <w:left w:w="100" w:type="dxa"/>
              <w:bottom w:w="70" w:type="dxa"/>
              <w:right w:w="100" w:type="dxa"/>
            </w:tcMar>
            <w:vAlign w:val="center"/>
          </w:tcPr>
          <w:p w14:paraId="252DC96E" w14:textId="77777777" w:rsidR="003B6FB2" w:rsidRDefault="00000000">
            <w:pPr>
              <w:spacing w:after="40" w:line="252" w:lineRule="auto"/>
              <w:jc w:val="center"/>
            </w:pPr>
            <w:r>
              <w:rPr>
                <w:b/>
                <w:bCs/>
                <w:color w:val="FFFFFF"/>
                <w:sz w:val="19"/>
                <w:szCs w:val="19"/>
              </w:rPr>
              <w:t>What it demonstrates</w:t>
            </w:r>
          </w:p>
        </w:tc>
        <w:tc>
          <w:tcPr>
            <w:tcW w:w="3869" w:type="dxa"/>
            <w:tcBorders>
              <w:top w:val="single" w:sz="4" w:space="0" w:color="B8C4D6"/>
              <w:left w:val="single" w:sz="4" w:space="0" w:color="B8C4D6"/>
              <w:bottom w:val="single" w:sz="4" w:space="0" w:color="B8C4D6"/>
              <w:right w:val="single" w:sz="4" w:space="0" w:color="B8C4D6"/>
            </w:tcBorders>
            <w:shd w:val="clear" w:color="auto" w:fill="21345C"/>
            <w:tcMar>
              <w:top w:w="70" w:type="dxa"/>
              <w:left w:w="100" w:type="dxa"/>
              <w:bottom w:w="70" w:type="dxa"/>
              <w:right w:w="100" w:type="dxa"/>
            </w:tcMar>
            <w:vAlign w:val="center"/>
          </w:tcPr>
          <w:p w14:paraId="6895522E" w14:textId="77777777" w:rsidR="003B6FB2" w:rsidRDefault="00000000">
            <w:pPr>
              <w:spacing w:after="40" w:line="252" w:lineRule="auto"/>
              <w:jc w:val="center"/>
            </w:pPr>
            <w:r>
              <w:rPr>
                <w:b/>
                <w:bCs/>
                <w:color w:val="FFFFFF"/>
                <w:sz w:val="19"/>
                <w:szCs w:val="19"/>
              </w:rPr>
              <w:t>Standard of rigor</w:t>
            </w:r>
          </w:p>
        </w:tc>
      </w:tr>
      <w:tr w:rsidR="003B6FB2" w14:paraId="1CB8626C" w14:textId="77777777">
        <w:trPr>
          <w:cantSplit/>
        </w:trPr>
        <w:tc>
          <w:tcPr>
            <w:tcW w:w="1900" w:type="dxa"/>
            <w:tcBorders>
              <w:top w:val="single" w:sz="4" w:space="0" w:color="B8C4D6"/>
              <w:left w:val="single" w:sz="4" w:space="0" w:color="B8C4D6"/>
              <w:bottom w:val="single" w:sz="4" w:space="0" w:color="B8C4D6"/>
              <w:right w:val="single" w:sz="4" w:space="0" w:color="B8C4D6"/>
            </w:tcBorders>
            <w:shd w:val="clear" w:color="auto" w:fill="EEF3F9"/>
            <w:tcMar>
              <w:top w:w="70" w:type="dxa"/>
              <w:left w:w="100" w:type="dxa"/>
              <w:bottom w:w="70" w:type="dxa"/>
              <w:right w:w="100" w:type="dxa"/>
            </w:tcMar>
          </w:tcPr>
          <w:p w14:paraId="6D739F67" w14:textId="77777777" w:rsidR="003B6FB2" w:rsidRDefault="00000000">
            <w:pPr>
              <w:spacing w:after="40" w:line="252" w:lineRule="auto"/>
            </w:pPr>
            <w:r>
              <w:rPr>
                <w:b/>
                <w:bCs/>
                <w:sz w:val="19"/>
                <w:szCs w:val="19"/>
              </w:rPr>
              <w:t>Experimental</w:t>
            </w:r>
          </w:p>
        </w:tc>
        <w:tc>
          <w:tcPr>
            <w:tcW w:w="3869"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07B7224A" w14:textId="77777777" w:rsidR="003B6FB2" w:rsidRDefault="00000000">
            <w:pPr>
              <w:spacing w:after="40" w:line="252" w:lineRule="auto"/>
            </w:pPr>
            <w:r>
              <w:rPr>
                <w:sz w:val="19"/>
                <w:szCs w:val="19"/>
              </w:rPr>
              <w:t>That the architecture reduces violations compared with competitive baselines</w:t>
            </w:r>
          </w:p>
        </w:tc>
        <w:tc>
          <w:tcPr>
            <w:tcW w:w="3869"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17AB2BB4" w14:textId="77777777" w:rsidR="003B6FB2" w:rsidRDefault="00000000">
            <w:pPr>
              <w:spacing w:after="40" w:line="252" w:lineRule="auto"/>
            </w:pPr>
            <w:r>
              <w:rPr>
                <w:sz w:val="19"/>
                <w:szCs w:val="19"/>
              </w:rPr>
              <w:t>Held-out test set, multiple random seeds, and paired statistical tests</w:t>
            </w:r>
          </w:p>
        </w:tc>
      </w:tr>
      <w:tr w:rsidR="003B6FB2" w14:paraId="3F2DCB02" w14:textId="77777777">
        <w:trPr>
          <w:cantSplit/>
        </w:trPr>
        <w:tc>
          <w:tcPr>
            <w:tcW w:w="1900" w:type="dxa"/>
            <w:tcBorders>
              <w:top w:val="single" w:sz="4" w:space="0" w:color="B8C4D6"/>
              <w:left w:val="single" w:sz="4" w:space="0" w:color="B8C4D6"/>
              <w:bottom w:val="single" w:sz="4" w:space="0" w:color="B8C4D6"/>
              <w:right w:val="single" w:sz="4" w:space="0" w:color="B8C4D6"/>
            </w:tcBorders>
            <w:shd w:val="clear" w:color="auto" w:fill="EEF3F9"/>
            <w:tcMar>
              <w:top w:w="70" w:type="dxa"/>
              <w:left w:w="100" w:type="dxa"/>
              <w:bottom w:w="70" w:type="dxa"/>
              <w:right w:w="100" w:type="dxa"/>
            </w:tcMar>
          </w:tcPr>
          <w:p w14:paraId="68A48E64" w14:textId="77777777" w:rsidR="003B6FB2" w:rsidRDefault="00000000">
            <w:pPr>
              <w:spacing w:after="40" w:line="252" w:lineRule="auto"/>
            </w:pPr>
            <w:r>
              <w:rPr>
                <w:b/>
                <w:bCs/>
                <w:sz w:val="19"/>
                <w:szCs w:val="19"/>
              </w:rPr>
              <w:t>Formal</w:t>
            </w:r>
          </w:p>
        </w:tc>
        <w:tc>
          <w:tcPr>
            <w:tcW w:w="3869"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0BF78546" w14:textId="77777777" w:rsidR="003B6FB2" w:rsidRDefault="00000000">
            <w:pPr>
              <w:spacing w:after="40" w:line="252" w:lineRule="auto"/>
            </w:pPr>
            <w:r>
              <w:rPr>
                <w:sz w:val="19"/>
                <w:szCs w:val="19"/>
              </w:rPr>
              <w:t>That no action violating the specification can be executed</w:t>
            </w:r>
          </w:p>
        </w:tc>
        <w:tc>
          <w:tcPr>
            <w:tcW w:w="3869"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31C073F8" w14:textId="77777777" w:rsidR="003B6FB2" w:rsidRDefault="00000000">
            <w:pPr>
              <w:spacing w:after="40" w:line="252" w:lineRule="auto"/>
            </w:pPr>
            <w:r>
              <w:rPr>
                <w:sz w:val="19"/>
                <w:szCs w:val="19"/>
              </w:rPr>
              <w:t>Verification before the effect occurs and property-based testing</w:t>
            </w:r>
          </w:p>
        </w:tc>
      </w:tr>
      <w:tr w:rsidR="003B6FB2" w14:paraId="655DFC30" w14:textId="77777777">
        <w:trPr>
          <w:cantSplit/>
        </w:trPr>
        <w:tc>
          <w:tcPr>
            <w:tcW w:w="1900" w:type="dxa"/>
            <w:tcBorders>
              <w:top w:val="single" w:sz="4" w:space="0" w:color="B8C4D6"/>
              <w:left w:val="single" w:sz="4" w:space="0" w:color="B8C4D6"/>
              <w:bottom w:val="single" w:sz="4" w:space="0" w:color="B8C4D6"/>
              <w:right w:val="single" w:sz="4" w:space="0" w:color="B8C4D6"/>
            </w:tcBorders>
            <w:shd w:val="clear" w:color="auto" w:fill="EEF3F9"/>
            <w:tcMar>
              <w:top w:w="70" w:type="dxa"/>
              <w:left w:w="100" w:type="dxa"/>
              <w:bottom w:w="70" w:type="dxa"/>
              <w:right w:w="100" w:type="dxa"/>
            </w:tcMar>
          </w:tcPr>
          <w:p w14:paraId="5AD1E45E" w14:textId="77777777" w:rsidR="003B6FB2" w:rsidRDefault="00000000">
            <w:pPr>
              <w:spacing w:after="40" w:line="252" w:lineRule="auto"/>
            </w:pPr>
            <w:r>
              <w:rPr>
                <w:b/>
                <w:bCs/>
                <w:sz w:val="19"/>
                <w:szCs w:val="19"/>
              </w:rPr>
              <w:t>Naturalistic</w:t>
            </w:r>
          </w:p>
        </w:tc>
        <w:tc>
          <w:tcPr>
            <w:tcW w:w="3869"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4132BF6B" w14:textId="77777777" w:rsidR="003B6FB2" w:rsidRDefault="00000000">
            <w:pPr>
              <w:spacing w:after="40" w:line="252" w:lineRule="auto"/>
            </w:pPr>
            <w:r>
              <w:rPr>
                <w:sz w:val="19"/>
                <w:szCs w:val="19"/>
              </w:rPr>
              <w:t>That the artifact works with real cases and experts</w:t>
            </w:r>
          </w:p>
        </w:tc>
        <w:tc>
          <w:tcPr>
            <w:tcW w:w="3869" w:type="dxa"/>
            <w:tcBorders>
              <w:top w:val="single" w:sz="4" w:space="0" w:color="B8C4D6"/>
              <w:left w:val="single" w:sz="4" w:space="0" w:color="B8C4D6"/>
              <w:bottom w:val="single" w:sz="4" w:space="0" w:color="B8C4D6"/>
              <w:right w:val="single" w:sz="4" w:space="0" w:color="B8C4D6"/>
            </w:tcBorders>
            <w:tcMar>
              <w:top w:w="70" w:type="dxa"/>
              <w:left w:w="100" w:type="dxa"/>
              <w:bottom w:w="70" w:type="dxa"/>
              <w:right w:w="100" w:type="dxa"/>
            </w:tcMar>
          </w:tcPr>
          <w:p w14:paraId="52E63A78" w14:textId="77777777" w:rsidR="003B6FB2" w:rsidRDefault="00000000">
            <w:pPr>
              <w:spacing w:after="40" w:line="252" w:lineRule="auto"/>
            </w:pPr>
            <w:r>
              <w:rPr>
                <w:sz w:val="19"/>
                <w:szCs w:val="19"/>
              </w:rPr>
              <w:t>Shadow-mode evaluation and expert annotation with inter-annotator agreement</w:t>
            </w:r>
          </w:p>
        </w:tc>
      </w:tr>
    </w:tbl>
    <w:p w14:paraId="61A09B2C" w14:textId="77777777" w:rsidR="003B6FB2" w:rsidRDefault="003B6FB2">
      <w:pPr>
        <w:spacing w:after="80" w:line="276" w:lineRule="auto"/>
      </w:pPr>
    </w:p>
    <w:p w14:paraId="696DC9BD" w14:textId="77777777" w:rsidR="003B6FB2" w:rsidRDefault="00000000" w:rsidP="005643E3">
      <w:pPr>
        <w:keepNext/>
        <w:spacing w:after="120" w:line="276" w:lineRule="auto"/>
        <w:ind w:left="312" w:firstLine="708"/>
        <w:jc w:val="both"/>
      </w:pPr>
      <w:r>
        <w:t>The following are not considered valid evidence:</w:t>
      </w:r>
    </w:p>
    <w:p w14:paraId="33E140EF" w14:textId="3AE5770C" w:rsidR="003B6FB2" w:rsidRDefault="005643E3" w:rsidP="005643E3">
      <w:pPr>
        <w:pStyle w:val="Prrafodelista"/>
        <w:numPr>
          <w:ilvl w:val="1"/>
          <w:numId w:val="9"/>
        </w:numPr>
        <w:spacing w:after="80" w:line="276" w:lineRule="auto"/>
        <w:jc w:val="both"/>
      </w:pPr>
      <w:r>
        <w:t>A demonstration based on a single run, due to the n = 1 problem.</w:t>
      </w:r>
    </w:p>
    <w:p w14:paraId="6384F287" w14:textId="097DF0D2" w:rsidR="003B6FB2" w:rsidRDefault="005643E3" w:rsidP="005643E3">
      <w:pPr>
        <w:pStyle w:val="Prrafodelista"/>
        <w:numPr>
          <w:ilvl w:val="1"/>
          <w:numId w:val="9"/>
        </w:numPr>
        <w:spacing w:after="80" w:line="276" w:lineRule="auto"/>
        <w:jc w:val="both"/>
      </w:pPr>
      <w:r>
        <w:t>Anecdotal success in conveniently selected cases.</w:t>
      </w:r>
    </w:p>
    <w:p w14:paraId="7E591FD9" w14:textId="56420BA5" w:rsidR="003B6FB2" w:rsidRDefault="005643E3" w:rsidP="005643E3">
      <w:pPr>
        <w:pStyle w:val="Prrafodelista"/>
        <w:numPr>
          <w:ilvl w:val="1"/>
          <w:numId w:val="9"/>
        </w:numPr>
        <w:spacing w:after="80" w:line="276" w:lineRule="auto"/>
        <w:jc w:val="both"/>
      </w:pPr>
      <w:r>
        <w:t>The language model’s own claim of having complied with the procedure.</w:t>
      </w:r>
    </w:p>
    <w:p w14:paraId="3C27BCDF" w14:textId="3C9FB433" w:rsidR="003B6FB2" w:rsidRDefault="005643E3" w:rsidP="005643E3">
      <w:pPr>
        <w:pStyle w:val="Prrafodelista"/>
        <w:numPr>
          <w:ilvl w:val="1"/>
          <w:numId w:val="9"/>
        </w:numPr>
        <w:spacing w:after="80" w:line="276" w:lineRule="auto"/>
        <w:jc w:val="both"/>
      </w:pPr>
      <w:r>
        <w:t>The rating of an automated judge that has not been validated against human annotation.</w:t>
      </w:r>
    </w:p>
    <w:p w14:paraId="2412ADB0" w14:textId="77777777" w:rsidR="005643E3" w:rsidRDefault="005643E3" w:rsidP="004E00B8">
      <w:pPr>
        <w:pStyle w:val="Prrafodelista"/>
        <w:spacing w:after="80" w:line="276" w:lineRule="auto"/>
        <w:ind w:left="1880"/>
        <w:jc w:val="both"/>
      </w:pPr>
    </w:p>
    <w:p w14:paraId="53C85158" w14:textId="12F0B11F" w:rsidR="003B6FB2" w:rsidRDefault="00000000" w:rsidP="005643E3">
      <w:pPr>
        <w:pStyle w:val="Prrafodelista"/>
        <w:keepNext/>
        <w:numPr>
          <w:ilvl w:val="2"/>
          <w:numId w:val="6"/>
        </w:numPr>
        <w:spacing w:after="80"/>
        <w:rPr>
          <w:b/>
          <w:bCs/>
        </w:rPr>
      </w:pPr>
      <w:r>
        <w:rPr>
          <w:b/>
          <w:bCs/>
        </w:rPr>
        <w:lastRenderedPageBreak/>
        <w:t>Methodology</w:t>
      </w:r>
    </w:p>
    <w:p w14:paraId="27F9A99F" w14:textId="77777777" w:rsidR="005643E3" w:rsidRPr="005643E3" w:rsidRDefault="005643E3" w:rsidP="005643E3">
      <w:pPr>
        <w:pStyle w:val="Prrafodelista"/>
        <w:keepNext/>
        <w:spacing w:after="80"/>
        <w:ind w:left="1800"/>
        <w:rPr>
          <w:b/>
          <w:bCs/>
        </w:rPr>
      </w:pPr>
    </w:p>
    <w:p w14:paraId="46E58378" w14:textId="77777777" w:rsidR="003B6FB2" w:rsidRDefault="00000000" w:rsidP="005643E3">
      <w:pPr>
        <w:spacing w:after="120" w:line="276" w:lineRule="auto"/>
        <w:ind w:left="708" w:firstLine="372"/>
        <w:jc w:val="both"/>
      </w:pPr>
      <w:r>
        <w:t>The research follows the Design Science Research Methodology (DSRM) of Peffers et al. (2007) through its six activities: identify the problem, define objectives, design and develop, demonstrate, evaluate, and communicate. Each activity is implemented through the phases of the Machine Learning lifecycle defined in CRISP-ML(Q) (Studer et al., 2021). The artifact is built in three build-evaluate cycles of increasing realism (synthetic data, pseudonymized logs in a controlled environment, and shadow mode), following the technical risk and efficacy strategy of the FEDS framework (Venable et al., 2016).</w:t>
      </w:r>
    </w:p>
    <w:p w14:paraId="6DF17F03" w14:textId="77777777" w:rsidR="003B6FB2" w:rsidRDefault="00000000" w:rsidP="005643E3">
      <w:pPr>
        <w:spacing w:after="120" w:line="276" w:lineRule="auto"/>
        <w:ind w:left="708" w:firstLine="372"/>
        <w:jc w:val="both"/>
      </w:pPr>
      <w:r>
        <w:t>Data are obtained from public BPI Challenge event logs, pseudonymized claims logs from an insurance company under an institutional agreement, a synthetic benchmark with labeled violations, and a sample annotated by expert analysts. The data are partitioned by case and in temporal order into training, validation, and held-out test sets, with automated controls against data leakage. The analysis comprises:</w:t>
      </w:r>
    </w:p>
    <w:p w14:paraId="64A28FEC" w14:textId="77777777" w:rsidR="003B6FB2" w:rsidRDefault="00000000" w:rsidP="004E00B8">
      <w:pPr>
        <w:pStyle w:val="Prrafodelista"/>
        <w:numPr>
          <w:ilvl w:val="1"/>
          <w:numId w:val="9"/>
        </w:numPr>
        <w:spacing w:after="80" w:line="276" w:lineRule="auto"/>
        <w:jc w:val="both"/>
      </w:pPr>
      <w:r>
        <w:t>Process mining: discovery of declarative constraints using training data only, and conformance checking through alignments.</w:t>
      </w:r>
    </w:p>
    <w:p w14:paraId="4B78380F" w14:textId="77777777" w:rsidR="003B6FB2" w:rsidRDefault="00000000" w:rsidP="004E00B8">
      <w:pPr>
        <w:pStyle w:val="Prrafodelista"/>
        <w:numPr>
          <w:ilvl w:val="1"/>
          <w:numId w:val="9"/>
        </w:numPr>
        <w:spacing w:after="80" w:line="276" w:lineRule="auto"/>
        <w:jc w:val="both"/>
      </w:pPr>
      <w:r>
        <w:t>Controlled computational experiment: all architectures process the same cases in a test environment (sandbox).</w:t>
      </w:r>
    </w:p>
    <w:p w14:paraId="5E0B83CB" w14:textId="77777777" w:rsidR="003B6FB2" w:rsidRDefault="00000000" w:rsidP="004E00B8">
      <w:pPr>
        <w:pStyle w:val="Prrafodelista"/>
        <w:numPr>
          <w:ilvl w:val="1"/>
          <w:numId w:val="9"/>
        </w:numPr>
        <w:spacing w:after="80" w:line="276" w:lineRule="auto"/>
        <w:jc w:val="both"/>
      </w:pPr>
      <w:r>
        <w:t>Statistical analysis: paired tests (Wilcoxon and McNemar), bootstrap confidence intervals, effect sizes, Holm correction, and a non-inferiority test.</w:t>
      </w:r>
    </w:p>
    <w:p w14:paraId="7ACBF59C" w14:textId="77777777" w:rsidR="003B6FB2" w:rsidRDefault="00000000" w:rsidP="004E00B8">
      <w:pPr>
        <w:pStyle w:val="Prrafodelista"/>
        <w:numPr>
          <w:ilvl w:val="1"/>
          <w:numId w:val="9"/>
        </w:numPr>
        <w:spacing w:after="80" w:line="276" w:lineRule="auto"/>
        <w:jc w:val="both"/>
      </w:pPr>
      <w:r>
        <w:t>Ablations and naturalistic shadow-mode evaluation against expert decisions.</w:t>
      </w:r>
    </w:p>
    <w:p w14:paraId="479C625F" w14:textId="77777777" w:rsidR="005643E3" w:rsidRDefault="005643E3" w:rsidP="004E00B8">
      <w:pPr>
        <w:pStyle w:val="Prrafodelista"/>
        <w:spacing w:after="80" w:line="276" w:lineRule="auto"/>
        <w:ind w:left="1320"/>
        <w:jc w:val="both"/>
      </w:pPr>
    </w:p>
    <w:p w14:paraId="2387A421" w14:textId="7A3D8D3B" w:rsidR="003B6FB2" w:rsidRDefault="00000000" w:rsidP="005643E3">
      <w:pPr>
        <w:pStyle w:val="Prrafodelista"/>
        <w:keepNext/>
        <w:numPr>
          <w:ilvl w:val="2"/>
          <w:numId w:val="6"/>
        </w:numPr>
        <w:spacing w:after="80"/>
        <w:rPr>
          <w:b/>
          <w:bCs/>
        </w:rPr>
      </w:pPr>
      <w:r>
        <w:rPr>
          <w:b/>
          <w:bCs/>
        </w:rPr>
        <w:t>Axiology</w:t>
      </w:r>
    </w:p>
    <w:p w14:paraId="4E962D19" w14:textId="77777777" w:rsidR="005643E3" w:rsidRPr="005643E3" w:rsidRDefault="005643E3" w:rsidP="005643E3">
      <w:pPr>
        <w:pStyle w:val="Prrafodelista"/>
        <w:keepNext/>
        <w:spacing w:after="80"/>
        <w:ind w:left="1800"/>
        <w:rPr>
          <w:b/>
          <w:bCs/>
        </w:rPr>
      </w:pPr>
    </w:p>
    <w:p w14:paraId="25B05E55" w14:textId="77777777" w:rsidR="003B6FB2" w:rsidRDefault="00000000" w:rsidP="005643E3">
      <w:pPr>
        <w:spacing w:after="120" w:line="276" w:lineRule="auto"/>
        <w:ind w:left="708" w:firstLine="372"/>
        <w:jc w:val="both"/>
      </w:pPr>
      <w:r>
        <w:t>Design Science explicitly values creation, improvement, and control (Vaishnavi &amp; Kuechler, 2015). The research does not seek only to describe what exists but to produce a better solution; therefore, it cannot claim neutrality: deciding to automate a process that affects policyholders already constitutes a value judgment. The values that guide the design are the following:</w:t>
      </w:r>
    </w:p>
    <w:p w14:paraId="7A1F9C45" w14:textId="77777777" w:rsidR="003B6FB2" w:rsidRDefault="00000000" w:rsidP="004E00B8">
      <w:pPr>
        <w:pStyle w:val="Prrafodelista"/>
        <w:numPr>
          <w:ilvl w:val="1"/>
          <w:numId w:val="9"/>
        </w:numPr>
        <w:spacing w:after="80" w:line="276" w:lineRule="auto"/>
        <w:jc w:val="both"/>
      </w:pPr>
      <w:r>
        <w:t>Harm prevention. No autonomous decision will affect real policyholders during the research: evaluation with real cases is conducted in shadow mode, and the design includes escalation to a human.</w:t>
      </w:r>
    </w:p>
    <w:p w14:paraId="29BB0884" w14:textId="77777777" w:rsidR="003B6FB2" w:rsidRDefault="00000000" w:rsidP="004E00B8">
      <w:pPr>
        <w:pStyle w:val="Prrafodelista"/>
        <w:numPr>
          <w:ilvl w:val="1"/>
          <w:numId w:val="9"/>
        </w:numPr>
        <w:spacing w:after="80" w:line="276" w:lineRule="auto"/>
        <w:jc w:val="both"/>
      </w:pPr>
      <w:r>
        <w:t>Transparency and auditability. Every agent decision must be traceable to a constraint and to a case data point; the code, the synthetic benchmark, and the documentation are published to enable replication.</w:t>
      </w:r>
    </w:p>
    <w:p w14:paraId="074276C4" w14:textId="77777777" w:rsidR="003B6FB2" w:rsidRDefault="00000000" w:rsidP="004E00B8">
      <w:pPr>
        <w:pStyle w:val="Prrafodelista"/>
        <w:numPr>
          <w:ilvl w:val="1"/>
          <w:numId w:val="9"/>
        </w:numPr>
        <w:spacing w:after="80" w:line="276" w:lineRule="auto"/>
        <w:jc w:val="both"/>
      </w:pPr>
      <w:r>
        <w:t>Personal data protection. Peruvian Law No. 29733 is complied with through pseudonymization within the company, attribute minimization, ethics committee approval, and non-publication of real data.</w:t>
      </w:r>
    </w:p>
    <w:p w14:paraId="1BD2E345" w14:textId="77777777" w:rsidR="003B6FB2" w:rsidRDefault="00000000" w:rsidP="004E00B8">
      <w:pPr>
        <w:pStyle w:val="Prrafodelista"/>
        <w:numPr>
          <w:ilvl w:val="1"/>
          <w:numId w:val="9"/>
        </w:numPr>
        <w:spacing w:after="80" w:line="276" w:lineRule="auto"/>
        <w:jc w:val="both"/>
      </w:pPr>
      <w:r>
        <w:t>Fairness. Mined rules inherit historical practices, including their biases; therefore, they are validated with experts, and results are analyzed by line of business, channel, and region.</w:t>
      </w:r>
    </w:p>
    <w:p w14:paraId="04658C09" w14:textId="2C9BEA2C" w:rsidR="003B6FB2" w:rsidRDefault="00000000" w:rsidP="004E00B8">
      <w:pPr>
        <w:pStyle w:val="Prrafodelista"/>
        <w:numPr>
          <w:ilvl w:val="1"/>
          <w:numId w:val="9"/>
        </w:numPr>
        <w:spacing w:after="80" w:line="276" w:lineRule="auto"/>
        <w:jc w:val="both"/>
      </w:pPr>
      <w:r>
        <w:t>Scientific integrity. Preregistration of the analysis and reporting of negative results.</w:t>
      </w:r>
    </w:p>
    <w:p w14:paraId="07DC891E" w14:textId="77777777" w:rsidR="004E00B8" w:rsidRDefault="004E00B8" w:rsidP="004E00B8">
      <w:pPr>
        <w:pStyle w:val="Prrafodelista"/>
        <w:spacing w:after="80" w:line="276" w:lineRule="auto"/>
        <w:ind w:left="1880"/>
        <w:jc w:val="both"/>
      </w:pPr>
    </w:p>
    <w:sectPr w:rsidR="004E00B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86AF7" w14:textId="77777777" w:rsidR="003970CD" w:rsidRDefault="003970CD">
      <w:r>
        <w:separator/>
      </w:r>
    </w:p>
  </w:endnote>
  <w:endnote w:type="continuationSeparator" w:id="0">
    <w:p w14:paraId="644A6E9D" w14:textId="77777777" w:rsidR="003970CD" w:rsidRDefault="00397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5C614" w14:textId="77777777" w:rsidR="003970CD" w:rsidRDefault="003970CD">
      <w:r>
        <w:separator/>
      </w:r>
    </w:p>
  </w:footnote>
  <w:footnote w:type="continuationSeparator" w:id="0">
    <w:p w14:paraId="2E12B03E" w14:textId="77777777" w:rsidR="003970CD" w:rsidRDefault="003970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85971"/>
    <w:multiLevelType w:val="hybridMultilevel"/>
    <w:tmpl w:val="1FAEA0A2"/>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AE3654E"/>
    <w:multiLevelType w:val="hybridMultilevel"/>
    <w:tmpl w:val="1E422F4E"/>
    <w:lvl w:ilvl="0" w:tplc="FFFFFFFF">
      <w:start w:val="1"/>
      <w:numFmt w:val="bullet"/>
      <w:lvlText w:val="•"/>
      <w:lvlJc w:val="left"/>
      <w:pPr>
        <w:ind w:left="1320" w:hanging="300"/>
      </w:pPr>
    </w:lvl>
    <w:lvl w:ilvl="1" w:tplc="280A0001">
      <w:start w:val="1"/>
      <w:numFmt w:val="bullet"/>
      <w:lvlText w:val=""/>
      <w:lvlJc w:val="left"/>
      <w:pPr>
        <w:ind w:left="188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FBE1254"/>
    <w:multiLevelType w:val="hybridMultilevel"/>
    <w:tmpl w:val="8860371C"/>
    <w:lvl w:ilvl="0" w:tplc="8982B616">
      <w:start w:val="1"/>
      <w:numFmt w:val="bullet"/>
      <w:lvlText w:val="●"/>
      <w:lvlJc w:val="left"/>
      <w:pPr>
        <w:ind w:left="720" w:hanging="360"/>
      </w:pPr>
    </w:lvl>
    <w:lvl w:ilvl="1" w:tplc="027A75F0">
      <w:start w:val="1"/>
      <w:numFmt w:val="bullet"/>
      <w:lvlText w:val="○"/>
      <w:lvlJc w:val="left"/>
      <w:pPr>
        <w:ind w:left="1440" w:hanging="360"/>
      </w:pPr>
    </w:lvl>
    <w:lvl w:ilvl="2" w:tplc="DFC4E5FC">
      <w:start w:val="1"/>
      <w:numFmt w:val="bullet"/>
      <w:lvlText w:val="■"/>
      <w:lvlJc w:val="left"/>
      <w:pPr>
        <w:ind w:left="2160" w:hanging="360"/>
      </w:pPr>
    </w:lvl>
    <w:lvl w:ilvl="3" w:tplc="B5400530">
      <w:start w:val="1"/>
      <w:numFmt w:val="bullet"/>
      <w:lvlText w:val="●"/>
      <w:lvlJc w:val="left"/>
      <w:pPr>
        <w:ind w:left="2880" w:hanging="360"/>
      </w:pPr>
    </w:lvl>
    <w:lvl w:ilvl="4" w:tplc="634486FE">
      <w:start w:val="1"/>
      <w:numFmt w:val="bullet"/>
      <w:lvlText w:val="○"/>
      <w:lvlJc w:val="left"/>
      <w:pPr>
        <w:ind w:left="3600" w:hanging="360"/>
      </w:pPr>
    </w:lvl>
    <w:lvl w:ilvl="5" w:tplc="350A20FC">
      <w:start w:val="1"/>
      <w:numFmt w:val="bullet"/>
      <w:lvlText w:val="■"/>
      <w:lvlJc w:val="left"/>
      <w:pPr>
        <w:ind w:left="4320" w:hanging="360"/>
      </w:pPr>
    </w:lvl>
    <w:lvl w:ilvl="6" w:tplc="C79C301E">
      <w:start w:val="1"/>
      <w:numFmt w:val="bullet"/>
      <w:lvlText w:val="●"/>
      <w:lvlJc w:val="left"/>
      <w:pPr>
        <w:ind w:left="5040" w:hanging="360"/>
      </w:pPr>
    </w:lvl>
    <w:lvl w:ilvl="7" w:tplc="50BA5D26">
      <w:start w:val="1"/>
      <w:numFmt w:val="bullet"/>
      <w:lvlText w:val="●"/>
      <w:lvlJc w:val="left"/>
      <w:pPr>
        <w:ind w:left="5760" w:hanging="360"/>
      </w:pPr>
    </w:lvl>
    <w:lvl w:ilvl="8" w:tplc="D4E295B0">
      <w:start w:val="1"/>
      <w:numFmt w:val="bullet"/>
      <w:lvlText w:val="●"/>
      <w:lvlJc w:val="left"/>
      <w:pPr>
        <w:ind w:left="6480" w:hanging="360"/>
      </w:pPr>
    </w:lvl>
  </w:abstractNum>
  <w:abstractNum w:abstractNumId="3" w15:restartNumberingAfterBreak="0">
    <w:nsid w:val="4250454D"/>
    <w:multiLevelType w:val="multilevel"/>
    <w:tmpl w:val="AE300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10682E"/>
    <w:multiLevelType w:val="hybridMultilevel"/>
    <w:tmpl w:val="F042CFC2"/>
    <w:lvl w:ilvl="0" w:tplc="E1BA40BA">
      <w:start w:val="1"/>
      <w:numFmt w:val="bullet"/>
      <w:lvlText w:val="•"/>
      <w:lvlJc w:val="left"/>
      <w:pPr>
        <w:ind w:left="1320" w:hanging="300"/>
      </w:pPr>
    </w:lvl>
    <w:lvl w:ilvl="1" w:tplc="B56EE53A">
      <w:start w:val="1"/>
      <w:numFmt w:val="bullet"/>
      <w:lvlText w:val="◦"/>
      <w:lvlJc w:val="left"/>
      <w:pPr>
        <w:ind w:left="1820" w:hanging="300"/>
      </w:pPr>
    </w:lvl>
    <w:lvl w:ilvl="2" w:tplc="8CC83C3E">
      <w:numFmt w:val="decimal"/>
      <w:lvlText w:val=""/>
      <w:lvlJc w:val="left"/>
    </w:lvl>
    <w:lvl w:ilvl="3" w:tplc="9CB20A10">
      <w:numFmt w:val="decimal"/>
      <w:lvlText w:val=""/>
      <w:lvlJc w:val="left"/>
    </w:lvl>
    <w:lvl w:ilvl="4" w:tplc="89B8EDCA">
      <w:numFmt w:val="decimal"/>
      <w:lvlText w:val=""/>
      <w:lvlJc w:val="left"/>
    </w:lvl>
    <w:lvl w:ilvl="5" w:tplc="1AACAE8A">
      <w:numFmt w:val="decimal"/>
      <w:lvlText w:val=""/>
      <w:lvlJc w:val="left"/>
    </w:lvl>
    <w:lvl w:ilvl="6" w:tplc="5BB80934">
      <w:numFmt w:val="decimal"/>
      <w:lvlText w:val=""/>
      <w:lvlJc w:val="left"/>
    </w:lvl>
    <w:lvl w:ilvl="7" w:tplc="5FD85B24">
      <w:numFmt w:val="decimal"/>
      <w:lvlText w:val=""/>
      <w:lvlJc w:val="left"/>
    </w:lvl>
    <w:lvl w:ilvl="8" w:tplc="DBFCF0E4">
      <w:numFmt w:val="decimal"/>
      <w:lvlText w:val=""/>
      <w:lvlJc w:val="left"/>
    </w:lvl>
  </w:abstractNum>
  <w:abstractNum w:abstractNumId="5" w15:restartNumberingAfterBreak="0">
    <w:nsid w:val="7A293C4D"/>
    <w:multiLevelType w:val="multilevel"/>
    <w:tmpl w:val="D5BE56A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b/>
        <w:bCs/>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7FC61CC1"/>
    <w:multiLevelType w:val="hybridMultilevel"/>
    <w:tmpl w:val="857A1668"/>
    <w:lvl w:ilvl="0" w:tplc="EE246018">
      <w:start w:val="1"/>
      <w:numFmt w:val="decimal"/>
      <w:lvlText w:val="%1."/>
      <w:lvlJc w:val="left"/>
      <w:pPr>
        <w:ind w:left="600" w:hanging="340"/>
      </w:pPr>
    </w:lvl>
    <w:lvl w:ilvl="1" w:tplc="0E344238">
      <w:numFmt w:val="decimal"/>
      <w:lvlText w:val=""/>
      <w:lvlJc w:val="left"/>
    </w:lvl>
    <w:lvl w:ilvl="2" w:tplc="B802A7FA">
      <w:numFmt w:val="decimal"/>
      <w:lvlText w:val=""/>
      <w:lvlJc w:val="left"/>
    </w:lvl>
    <w:lvl w:ilvl="3" w:tplc="C310B5F4">
      <w:numFmt w:val="decimal"/>
      <w:lvlText w:val=""/>
      <w:lvlJc w:val="left"/>
    </w:lvl>
    <w:lvl w:ilvl="4" w:tplc="C57EFBF2">
      <w:numFmt w:val="decimal"/>
      <w:lvlText w:val=""/>
      <w:lvlJc w:val="left"/>
    </w:lvl>
    <w:lvl w:ilvl="5" w:tplc="0728DB64">
      <w:numFmt w:val="decimal"/>
      <w:lvlText w:val=""/>
      <w:lvlJc w:val="left"/>
    </w:lvl>
    <w:lvl w:ilvl="6" w:tplc="20F266F2">
      <w:numFmt w:val="decimal"/>
      <w:lvlText w:val=""/>
      <w:lvlJc w:val="left"/>
    </w:lvl>
    <w:lvl w:ilvl="7" w:tplc="AD88DB5E">
      <w:numFmt w:val="decimal"/>
      <w:lvlText w:val=""/>
      <w:lvlJc w:val="left"/>
    </w:lvl>
    <w:lvl w:ilvl="8" w:tplc="2FFAFCBE">
      <w:numFmt w:val="decimal"/>
      <w:lvlText w:val=""/>
      <w:lvlJc w:val="left"/>
    </w:lvl>
  </w:abstractNum>
  <w:num w:numId="1" w16cid:durableId="559368283">
    <w:abstractNumId w:val="2"/>
    <w:lvlOverride w:ilvl="0">
      <w:startOverride w:val="1"/>
    </w:lvlOverride>
  </w:num>
  <w:num w:numId="2" w16cid:durableId="1684167084">
    <w:abstractNumId w:val="4"/>
    <w:lvlOverride w:ilvl="0">
      <w:startOverride w:val="1"/>
    </w:lvlOverride>
  </w:num>
  <w:num w:numId="3" w16cid:durableId="777338811">
    <w:abstractNumId w:val="6"/>
    <w:lvlOverride w:ilvl="0">
      <w:startOverride w:val="1"/>
    </w:lvlOverride>
  </w:num>
  <w:num w:numId="4" w16cid:durableId="256835715">
    <w:abstractNumId w:val="6"/>
    <w:lvlOverride w:ilvl="0">
      <w:startOverride w:val="1"/>
    </w:lvlOverride>
  </w:num>
  <w:num w:numId="5" w16cid:durableId="995912072">
    <w:abstractNumId w:val="3"/>
  </w:num>
  <w:num w:numId="6" w16cid:durableId="1850674077">
    <w:abstractNumId w:val="5"/>
  </w:num>
  <w:num w:numId="7" w16cid:durableId="793865016">
    <w:abstractNumId w:val="0"/>
  </w:num>
  <w:num w:numId="8" w16cid:durableId="1592855681">
    <w:abstractNumId w:val="4"/>
  </w:num>
  <w:num w:numId="9" w16cid:durableId="10487964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E5D"/>
    <w:rsid w:val="0013243D"/>
    <w:rsid w:val="00205254"/>
    <w:rsid w:val="003025F5"/>
    <w:rsid w:val="00362A62"/>
    <w:rsid w:val="003970CD"/>
    <w:rsid w:val="003B6FB2"/>
    <w:rsid w:val="004D2E5D"/>
    <w:rsid w:val="004E00B8"/>
    <w:rsid w:val="005643E3"/>
    <w:rsid w:val="006923E4"/>
    <w:rsid w:val="00751AA9"/>
    <w:rsid w:val="008F26A7"/>
    <w:rsid w:val="00BB3022"/>
    <w:rsid w:val="00CA197E"/>
    <w:rsid w:val="00E27911"/>
    <w:rsid w:val="00E777D3"/>
    <w:rsid w:val="00ED57B2"/>
    <w:rsid w:val="00F1283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8EB02"/>
  <w15:docId w15:val="{9A6341A0-11C9-4322-87A7-48B6ABD4A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40"/>
      <w:outlineLvl w:val="0"/>
    </w:pPr>
    <w:rPr>
      <w:b/>
      <w:bCs/>
      <w:color w:val="21345C"/>
      <w:sz w:val="30"/>
      <w:szCs w:val="30"/>
    </w:rPr>
  </w:style>
  <w:style w:type="paragraph" w:styleId="Ttulo2">
    <w:name w:val="heading 2"/>
    <w:uiPriority w:val="9"/>
    <w:unhideWhenUsed/>
    <w:qFormat/>
    <w:pPr>
      <w:spacing w:before="220" w:after="100"/>
      <w:outlineLvl w:val="1"/>
    </w:pPr>
    <w:rPr>
      <w:b/>
      <w:bCs/>
      <w:color w:val="0E7C86"/>
      <w:sz w:val="25"/>
      <w:szCs w:val="25"/>
    </w:rPr>
  </w:style>
  <w:style w:type="paragraph" w:styleId="Ttulo3">
    <w:name w:val="heading 3"/>
    <w:uiPriority w:val="9"/>
    <w:unhideWhenUsed/>
    <w:qFormat/>
    <w:pPr>
      <w:spacing w:before="160" w:after="80"/>
      <w:outlineLvl w:val="2"/>
    </w:pPr>
    <w:rPr>
      <w:b/>
      <w:bCs/>
      <w:color w:val="21345C"/>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13243D"/>
    <w:pPr>
      <w:tabs>
        <w:tab w:val="center" w:pos="4252"/>
        <w:tab w:val="right" w:pos="8504"/>
      </w:tabs>
    </w:pPr>
  </w:style>
  <w:style w:type="character" w:customStyle="1" w:styleId="EncabezadoCar">
    <w:name w:val="Encabezado Car"/>
    <w:basedOn w:val="Fuentedeprrafopredeter"/>
    <w:link w:val="Encabezado"/>
    <w:uiPriority w:val="99"/>
    <w:rsid w:val="0013243D"/>
  </w:style>
  <w:style w:type="paragraph" w:styleId="Piedepgina">
    <w:name w:val="footer"/>
    <w:basedOn w:val="Normal"/>
    <w:link w:val="PiedepginaCar"/>
    <w:uiPriority w:val="99"/>
    <w:unhideWhenUsed/>
    <w:rsid w:val="0013243D"/>
    <w:pPr>
      <w:tabs>
        <w:tab w:val="center" w:pos="4252"/>
        <w:tab w:val="right" w:pos="8504"/>
      </w:tabs>
    </w:pPr>
  </w:style>
  <w:style w:type="character" w:customStyle="1" w:styleId="PiedepginaCar">
    <w:name w:val="Pie de página Car"/>
    <w:basedOn w:val="Fuentedeprrafopredeter"/>
    <w:link w:val="Piedepgina"/>
    <w:uiPriority w:val="99"/>
    <w:rsid w:val="001324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1221</Words>
  <Characters>6721</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Entregable 1 · Definición de la Investigación</vt:lpstr>
    </vt:vector>
  </TitlesOfParts>
  <Company/>
  <LinksUpToDate>false</LinksUpToDate>
  <CharactersWithSpaces>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Deliverable 1 · Research Definition</dc:title>
  <dc:creator>Henry Francisco Sánchez Parra</dc:creator>
  <cp:lastModifiedBy>Henry Francisco Sánchez Parra</cp:lastModifiedBy>
  <cp:revision>2</cp:revision>
  <dcterms:created xsi:type="dcterms:W3CDTF">2026-09-17T04:28:00Z</dcterms:created>
  <dcterms:modified xsi:type="dcterms:W3CDTF">2026-09-17T04:28:00Z</dcterms:modified>
</cp:coreProperties>
</file>