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75CF" w14:textId="66F7BD68" w:rsidR="003C3118" w:rsidRPr="001835A3" w:rsidRDefault="001835A3">
      <w:pPr>
        <w:spacing w:after="20"/>
        <w:rPr>
          <w:rFonts w:ascii="Arial" w:hAnsi="Arial" w:cs="Arial"/>
          <w:sz w:val="22"/>
          <w:szCs w:val="22"/>
        </w:rPr>
      </w:pPr>
      <w:r>
        <w:rPr>
          <w:rFonts w:ascii="Arial" w:hAnsi="Arial" w:cs="Arial"/>
          <w:b/>
          <w:bCs/>
          <w:sz w:val="22"/>
          <w:szCs w:val="22"/>
        </w:rPr>
        <w:t xml:space="preserve">Deliverable 2 </w:t>
      </w:r>
    </w:p>
    <w:p w14:paraId="115B9265" w14:textId="77777777" w:rsidR="003C3118" w:rsidRDefault="00000000">
      <w:pPr>
        <w:spacing w:after="20"/>
        <w:rPr>
          <w:rFonts w:ascii="Arial" w:hAnsi="Arial" w:cs="Arial"/>
          <w:b/>
          <w:bCs/>
          <w:sz w:val="22"/>
          <w:szCs w:val="22"/>
        </w:rPr>
      </w:pPr>
      <w:r>
        <w:rPr>
          <w:rFonts w:ascii="Arial" w:hAnsi="Arial" w:cs="Arial"/>
          <w:b/>
          <w:bCs/>
          <w:sz w:val="22"/>
          <w:szCs w:val="22"/>
        </w:rPr>
        <w:t>Method-Fit Matrix (E.D.F.C.V.)</w:t>
      </w:r>
    </w:p>
    <w:p w14:paraId="7B8312BE" w14:textId="77777777" w:rsidR="001835A3" w:rsidRDefault="001835A3">
      <w:pPr>
        <w:spacing w:after="20"/>
        <w:rPr>
          <w:rFonts w:ascii="Arial" w:hAnsi="Arial" w:cs="Arial"/>
          <w:sz w:val="22"/>
          <w:szCs w:val="22"/>
        </w:rPr>
      </w:pPr>
    </w:p>
    <w:p w14:paraId="4EB409C8" w14:textId="77777777" w:rsidR="001835A3" w:rsidRPr="001835A3" w:rsidRDefault="001835A3">
      <w:pPr>
        <w:spacing w:after="20"/>
        <w:rPr>
          <w:rFonts w:ascii="Arial" w:hAnsi="Arial" w:cs="Arial"/>
          <w:sz w:val="22"/>
          <w:szCs w:val="22"/>
        </w:rPr>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12900"/>
      </w:tblGrid>
      <w:tr w:rsidR="003C3118" w14:paraId="6F53707E"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EC92D1F" w14:textId="07248FAC" w:rsidR="003C3118" w:rsidRPr="0057705B" w:rsidRDefault="00000000" w:rsidP="0057705B">
            <w:pPr>
              <w:spacing w:line="276" w:lineRule="auto"/>
              <w:rPr>
                <w:sz w:val="22"/>
                <w:szCs w:val="22"/>
              </w:rPr>
            </w:pPr>
            <w:r>
              <w:rPr>
                <w:b/>
                <w:bCs/>
                <w:sz w:val="22"/>
                <w:szCs w:val="22"/>
              </w:rPr>
              <w:t>Research question (Deliverable 1)</w:t>
            </w:r>
          </w:p>
        </w:tc>
        <w:tc>
          <w:tcPr>
            <w:tcW w:w="129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6D4DDF2" w14:textId="77777777" w:rsidR="003C3118" w:rsidRPr="0057705B" w:rsidRDefault="00000000" w:rsidP="0057705B">
            <w:pPr>
              <w:spacing w:line="276" w:lineRule="auto"/>
              <w:jc w:val="both"/>
              <w:rPr>
                <w:sz w:val="22"/>
                <w:szCs w:val="22"/>
              </w:rPr>
            </w:pPr>
            <w:r>
              <w:rPr>
                <w:sz w:val="22"/>
                <w:szCs w:val="22"/>
              </w:rPr>
              <w:t>How can a neuro-symbolic architecture be designed that uses constraints discovered through process mining to verify and block, at runtime, the actions of LLM-based agents? To what extent does this architecture reduce hard-constraint violations and undetected errors, without lowering the correct autonomous resolution rate beyond a non-inferiority margin δ, compared with unverified agents, self-correcting agents, and agents with post-hoc verification, in claims-handling processes in the Peruvian insurance sector?</w:t>
            </w:r>
          </w:p>
        </w:tc>
      </w:tr>
      <w:tr w:rsidR="003C3118" w14:paraId="14E8BFCF"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6F0F7AF8" w14:textId="77777777" w:rsidR="003C3118" w:rsidRPr="0057705B" w:rsidRDefault="00000000" w:rsidP="0057705B">
            <w:pPr>
              <w:spacing w:line="276" w:lineRule="auto"/>
              <w:rPr>
                <w:sz w:val="22"/>
                <w:szCs w:val="22"/>
              </w:rPr>
            </w:pPr>
            <w:r>
              <w:rPr>
                <w:b/>
                <w:bCs/>
                <w:sz w:val="22"/>
                <w:szCs w:val="22"/>
              </w:rPr>
              <w:t>Paradigm (Deliverable 1)</w:t>
            </w:r>
          </w:p>
        </w:tc>
        <w:tc>
          <w:tcPr>
            <w:tcW w:w="129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FED7D32" w14:textId="77777777" w:rsidR="003C3118" w:rsidRPr="0057705B" w:rsidRDefault="00000000" w:rsidP="0057705B">
            <w:pPr>
              <w:spacing w:line="276" w:lineRule="auto"/>
              <w:jc w:val="both"/>
              <w:rPr>
                <w:sz w:val="22"/>
                <w:szCs w:val="22"/>
              </w:rPr>
            </w:pPr>
            <w:r>
              <w:rPr>
                <w:b/>
                <w:bCs/>
                <w:sz w:val="22"/>
                <w:szCs w:val="22"/>
              </w:rPr>
              <w:t>Design Science.</w:t>
            </w:r>
            <w:r>
              <w:rPr>
                <w:sz w:val="22"/>
                <w:szCs w:val="22"/>
              </w:rPr>
              <w:t xml:space="preserve"> Knowledge is produced by building and evaluating an artifact; the epistemology is "knowing through making," and the central validity criterion is demonstrated utility.</w:t>
            </w:r>
          </w:p>
        </w:tc>
      </w:tr>
      <w:tr w:rsidR="003C3118" w14:paraId="008FC561"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013171B" w14:textId="77777777" w:rsidR="003C3118" w:rsidRPr="0057705B" w:rsidRDefault="00000000" w:rsidP="0057705B">
            <w:pPr>
              <w:spacing w:line="276" w:lineRule="auto"/>
              <w:rPr>
                <w:sz w:val="22"/>
                <w:szCs w:val="22"/>
              </w:rPr>
            </w:pPr>
            <w:r>
              <w:rPr>
                <w:b/>
                <w:bCs/>
                <w:sz w:val="22"/>
                <w:szCs w:val="22"/>
              </w:rPr>
              <w:t>Weight justification</w:t>
            </w:r>
          </w:p>
        </w:tc>
        <w:tc>
          <w:tcPr>
            <w:tcW w:w="129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76A3569" w14:textId="4458CD93" w:rsidR="003C3118" w:rsidRPr="0057705B" w:rsidRDefault="00000000" w:rsidP="0057705B">
            <w:pPr>
              <w:spacing w:line="276" w:lineRule="auto"/>
              <w:jc w:val="both"/>
              <w:rPr>
                <w:sz w:val="22"/>
                <w:szCs w:val="22"/>
              </w:rPr>
            </w:pPr>
            <w:r>
              <w:rPr>
                <w:b/>
                <w:bCs/>
                <w:sz w:val="22"/>
                <w:szCs w:val="22"/>
              </w:rPr>
              <w:t>E receives the highest weight (30%)</w:t>
            </w:r>
            <w:r>
              <w:rPr>
                <w:sz w:val="22"/>
                <w:szCs w:val="22"/>
              </w:rPr>
              <w:t xml:space="preserve"> because in AI projects the main methodological risk is not technical but the coherence between what is claimed and what the method can support. A Design Science thesis evaluated only through benchmarks would yield comparative claims ("A outperforms B") rather than design knowledge, a problem amplified in AI, where only 16% of 445 LLM benchmarks applied statistical tests (Bean et al., 2025). In addition, E operates as a constraint through the elimination rule. </w:t>
            </w:r>
            <w:r>
              <w:rPr>
                <w:b/>
                <w:bCs/>
                <w:sz w:val="22"/>
                <w:szCs w:val="22"/>
              </w:rPr>
              <w:t>V receives the lowest weight (15%)</w:t>
            </w:r>
            <w:r>
              <w:rPr>
                <w:sz w:val="22"/>
                <w:szCs w:val="22"/>
              </w:rPr>
              <w:t xml:space="preserve">, tied with F, because it is the most flexible criterion and the least tied to knowledge validity: a rigorous neuro-symbolic artifact can target software engineering, process management (BPM, CAiSE), or benchmark </w:t>
            </w:r>
            <w:r>
              <w:rPr>
                <w:i/>
                <w:iCs/>
                <w:sz w:val="22"/>
                <w:szCs w:val="22"/>
              </w:rPr>
              <w:t>tracks</w:t>
            </w:r>
            <w:r>
              <w:rPr>
                <w:sz w:val="22"/>
                <w:szCs w:val="22"/>
              </w:rPr>
              <w:t xml:space="preserve"> (NeurIPS D&amp;B), and the venue can be chosen after results are obtained. F shares the minimum weight because its main risks, compute cost and access to real data, are mitigated with open-weight LLMs and a synthetic benchmark.</w:t>
            </w:r>
          </w:p>
        </w:tc>
      </w:tr>
    </w:tbl>
    <w:p w14:paraId="2693D19D" w14:textId="77777777" w:rsidR="003C3118" w:rsidRDefault="003C3118">
      <w:pPr>
        <w:spacing w:after="5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4300"/>
        <w:gridCol w:w="4300"/>
        <w:gridCol w:w="4300"/>
      </w:tblGrid>
      <w:tr w:rsidR="003C3118" w:rsidRPr="0057705B" w14:paraId="57AD79B8" w14:textId="77777777" w:rsidTr="001835A3">
        <w:trPr>
          <w:cantSplit/>
          <w:tblHeader/>
        </w:trPr>
        <w:tc>
          <w:tcPr>
            <w:tcW w:w="2498" w:type="dxa"/>
            <w:tcBorders>
              <w:top w:val="single" w:sz="4" w:space="0" w:color="B8C4D6"/>
              <w:left w:val="single" w:sz="4" w:space="0" w:color="B8C4D6"/>
              <w:bottom w:val="single" w:sz="4" w:space="0" w:color="B8C4D6"/>
              <w:right w:val="single" w:sz="4" w:space="0" w:color="B8C4D6"/>
            </w:tcBorders>
            <w:shd w:val="clear" w:color="auto" w:fill="4C94D8" w:themeFill="text2" w:themeFillTint="80"/>
            <w:tcMar>
              <w:top w:w="30" w:type="dxa"/>
              <w:left w:w="70" w:type="dxa"/>
              <w:bottom w:w="30" w:type="dxa"/>
              <w:right w:w="70" w:type="dxa"/>
            </w:tcMar>
            <w:vAlign w:val="center"/>
          </w:tcPr>
          <w:p w14:paraId="0FDD306F" w14:textId="77777777" w:rsidR="003C3118" w:rsidRPr="0057705B" w:rsidRDefault="00000000">
            <w:pPr>
              <w:spacing w:line="228" w:lineRule="auto"/>
              <w:jc w:val="center"/>
              <w:rPr>
                <w:sz w:val="22"/>
                <w:szCs w:val="22"/>
              </w:rPr>
            </w:pPr>
            <w:r>
              <w:rPr>
                <w:b/>
                <w:bCs/>
                <w:color w:val="FFFFFF"/>
                <w:sz w:val="22"/>
                <w:szCs w:val="22"/>
              </w:rPr>
              <w:t>Criterion (weight)</w:t>
            </w:r>
          </w:p>
        </w:tc>
        <w:tc>
          <w:tcPr>
            <w:tcW w:w="4300" w:type="dxa"/>
            <w:tcBorders>
              <w:top w:val="single" w:sz="4" w:space="0" w:color="B8C4D6"/>
              <w:left w:val="single" w:sz="4" w:space="0" w:color="B8C4D6"/>
              <w:bottom w:val="single" w:sz="4" w:space="0" w:color="B8C4D6"/>
              <w:right w:val="single" w:sz="4" w:space="0" w:color="B8C4D6"/>
            </w:tcBorders>
            <w:shd w:val="clear" w:color="auto" w:fill="4C94D8" w:themeFill="text2" w:themeFillTint="80"/>
            <w:tcMar>
              <w:top w:w="30" w:type="dxa"/>
              <w:left w:w="70" w:type="dxa"/>
              <w:bottom w:w="30" w:type="dxa"/>
              <w:right w:w="70" w:type="dxa"/>
            </w:tcMar>
            <w:vAlign w:val="center"/>
          </w:tcPr>
          <w:p w14:paraId="3397BA60" w14:textId="77777777" w:rsidR="003C3118" w:rsidRPr="0057705B" w:rsidRDefault="00000000">
            <w:pPr>
              <w:spacing w:line="228" w:lineRule="auto"/>
              <w:jc w:val="center"/>
              <w:rPr>
                <w:sz w:val="22"/>
                <w:szCs w:val="22"/>
              </w:rPr>
            </w:pPr>
            <w:r>
              <w:rPr>
                <w:b/>
                <w:bCs/>
                <w:color w:val="FFFFFF"/>
                <w:sz w:val="22"/>
                <w:szCs w:val="22"/>
              </w:rPr>
              <w:t>M1 · DSRM + offline and shadow-mode evaluation</w:t>
            </w:r>
          </w:p>
        </w:tc>
        <w:tc>
          <w:tcPr>
            <w:tcW w:w="4300" w:type="dxa"/>
            <w:tcBorders>
              <w:top w:val="single" w:sz="4" w:space="0" w:color="B8C4D6"/>
              <w:left w:val="single" w:sz="4" w:space="0" w:color="B8C4D6"/>
              <w:bottom w:val="single" w:sz="4" w:space="0" w:color="B8C4D6"/>
              <w:right w:val="single" w:sz="4" w:space="0" w:color="B8C4D6"/>
            </w:tcBorders>
            <w:shd w:val="clear" w:color="auto" w:fill="4C94D8" w:themeFill="text2" w:themeFillTint="80"/>
            <w:tcMar>
              <w:top w:w="30" w:type="dxa"/>
              <w:left w:w="70" w:type="dxa"/>
              <w:bottom w:w="30" w:type="dxa"/>
              <w:right w:w="70" w:type="dxa"/>
            </w:tcMar>
            <w:vAlign w:val="center"/>
          </w:tcPr>
          <w:p w14:paraId="5ED5BEDD" w14:textId="77777777" w:rsidR="003C3118" w:rsidRPr="0057705B" w:rsidRDefault="00000000">
            <w:pPr>
              <w:spacing w:line="228" w:lineRule="auto"/>
              <w:jc w:val="center"/>
              <w:rPr>
                <w:sz w:val="22"/>
                <w:szCs w:val="22"/>
              </w:rPr>
            </w:pPr>
            <w:r>
              <w:rPr>
                <w:b/>
                <w:bCs/>
                <w:color w:val="FFFFFF"/>
                <w:sz w:val="22"/>
                <w:szCs w:val="22"/>
              </w:rPr>
              <w:t>M2 · Comparative computational experiment</w:t>
            </w:r>
          </w:p>
        </w:tc>
        <w:tc>
          <w:tcPr>
            <w:tcW w:w="4300" w:type="dxa"/>
            <w:tcBorders>
              <w:top w:val="single" w:sz="4" w:space="0" w:color="B8C4D6"/>
              <w:left w:val="single" w:sz="4" w:space="0" w:color="B8C4D6"/>
              <w:bottom w:val="single" w:sz="4" w:space="0" w:color="B8C4D6"/>
              <w:right w:val="single" w:sz="4" w:space="0" w:color="B8C4D6"/>
            </w:tcBorders>
            <w:shd w:val="clear" w:color="auto" w:fill="4C94D8" w:themeFill="text2" w:themeFillTint="80"/>
            <w:tcMar>
              <w:top w:w="30" w:type="dxa"/>
              <w:left w:w="70" w:type="dxa"/>
              <w:bottom w:w="30" w:type="dxa"/>
              <w:right w:w="70" w:type="dxa"/>
            </w:tcMar>
            <w:vAlign w:val="center"/>
          </w:tcPr>
          <w:p w14:paraId="49081F81" w14:textId="77777777" w:rsidR="003C3118" w:rsidRPr="0057705B" w:rsidRDefault="00000000">
            <w:pPr>
              <w:spacing w:line="228" w:lineRule="auto"/>
              <w:jc w:val="center"/>
              <w:rPr>
                <w:sz w:val="22"/>
                <w:szCs w:val="22"/>
              </w:rPr>
            </w:pPr>
            <w:r>
              <w:rPr>
                <w:b/>
                <w:bCs/>
                <w:color w:val="FFFFFF"/>
                <w:sz w:val="22"/>
                <w:szCs w:val="22"/>
              </w:rPr>
              <w:t>M3 · Action Design Research in an insurer</w:t>
            </w:r>
          </w:p>
        </w:tc>
      </w:tr>
      <w:tr w:rsidR="003C3118" w:rsidRPr="0057705B" w14:paraId="27845FA3"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5236A3A" w14:textId="77777777" w:rsidR="003C3118" w:rsidRPr="0057705B" w:rsidRDefault="00000000">
            <w:pPr>
              <w:spacing w:line="228" w:lineRule="auto"/>
              <w:rPr>
                <w:sz w:val="22"/>
                <w:szCs w:val="22"/>
              </w:rPr>
            </w:pPr>
            <w:r>
              <w:rPr>
                <w:b/>
                <w:bCs/>
                <w:sz w:val="22"/>
                <w:szCs w:val="22"/>
              </w:rPr>
              <w:t>E · Epistemological fit (30%)</w:t>
            </w:r>
            <w:r>
              <w:rPr>
                <w:sz w:val="22"/>
                <w:szCs w:val="22"/>
              </w:rPr>
              <w:t xml:space="preserve"> · evaluated first</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2AAEF981" w14:textId="77777777" w:rsidR="003C3118" w:rsidRPr="0057705B" w:rsidRDefault="00000000">
            <w:pPr>
              <w:spacing w:line="228" w:lineRule="auto"/>
              <w:rPr>
                <w:sz w:val="22"/>
                <w:szCs w:val="22"/>
              </w:rPr>
            </w:pPr>
            <w:r>
              <w:rPr>
                <w:b/>
                <w:bCs/>
                <w:sz w:val="22"/>
                <w:szCs w:val="22"/>
              </w:rPr>
              <w:t>5</w:t>
            </w:r>
            <w:r>
              <w:rPr>
                <w:sz w:val="22"/>
                <w:szCs w:val="22"/>
              </w:rPr>
              <w:t xml:space="preserve"> · Canonical method of the paradigm: the artifact is built in build-evaluate cycles, and experimentation is its evaluation technique.</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5A699D1" w14:textId="77777777" w:rsidR="003C3118" w:rsidRPr="0057705B" w:rsidRDefault="00000000">
            <w:pPr>
              <w:spacing w:line="228" w:lineRule="auto"/>
              <w:rPr>
                <w:sz w:val="22"/>
                <w:szCs w:val="22"/>
              </w:rPr>
            </w:pPr>
            <w:r>
              <w:rPr>
                <w:b/>
                <w:bCs/>
                <w:sz w:val="22"/>
                <w:szCs w:val="22"/>
              </w:rPr>
              <w:t>3</w:t>
            </w:r>
            <w:r>
              <w:rPr>
                <w:sz w:val="22"/>
                <w:szCs w:val="22"/>
              </w:rPr>
              <w:t xml:space="preserve"> · Provides per-seed comparative evidence but does not produce design principles; requires cited justification as DSR evaluation.</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3679322" w14:textId="77777777" w:rsidR="003C3118" w:rsidRPr="0057705B" w:rsidRDefault="00000000">
            <w:pPr>
              <w:spacing w:line="228" w:lineRule="auto"/>
              <w:rPr>
                <w:sz w:val="22"/>
                <w:szCs w:val="22"/>
              </w:rPr>
            </w:pPr>
            <w:r>
              <w:rPr>
                <w:b/>
                <w:bCs/>
                <w:sz w:val="22"/>
                <w:szCs w:val="22"/>
              </w:rPr>
              <w:t>4</w:t>
            </w:r>
            <w:r>
              <w:rPr>
                <w:sz w:val="22"/>
                <w:szCs w:val="22"/>
              </w:rPr>
              <w:t xml:space="preserve"> · It is DSR, but an artifact co-created with the organization limits the controlled comparison and reproducibility that an ML claim requires.</w:t>
            </w:r>
          </w:p>
        </w:tc>
      </w:tr>
      <w:tr w:rsidR="003C3118" w:rsidRPr="0057705B" w14:paraId="070AFD67"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C55B35A" w14:textId="77777777" w:rsidR="003C3118" w:rsidRPr="0057705B" w:rsidRDefault="00000000">
            <w:pPr>
              <w:spacing w:line="228" w:lineRule="auto"/>
              <w:rPr>
                <w:sz w:val="22"/>
                <w:szCs w:val="22"/>
              </w:rPr>
            </w:pPr>
            <w:r>
              <w:rPr>
                <w:b/>
                <w:bCs/>
                <w:sz w:val="22"/>
                <w:szCs w:val="22"/>
              </w:rPr>
              <w:t>Elimination rule: E ≤ 2</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ECE53F2" w14:textId="77777777" w:rsidR="003C3118" w:rsidRPr="0057705B" w:rsidRDefault="00000000">
            <w:pPr>
              <w:spacing w:line="228" w:lineRule="auto"/>
              <w:jc w:val="center"/>
              <w:rPr>
                <w:sz w:val="22"/>
                <w:szCs w:val="22"/>
              </w:rPr>
            </w:pPr>
            <w:r>
              <w:rPr>
                <w:sz w:val="22"/>
                <w:szCs w:val="22"/>
              </w:rPr>
              <w:t xml:space="preserve">E = 5 → </w:t>
            </w:r>
            <w:r>
              <w:rPr>
                <w:b/>
                <w:bCs/>
                <w:sz w:val="22"/>
                <w:szCs w:val="22"/>
              </w:rPr>
              <w:t>PASSES THE RULE</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6C7732FE" w14:textId="77777777" w:rsidR="003C3118" w:rsidRPr="0057705B" w:rsidRDefault="00000000">
            <w:pPr>
              <w:spacing w:line="228" w:lineRule="auto"/>
              <w:jc w:val="center"/>
              <w:rPr>
                <w:sz w:val="22"/>
                <w:szCs w:val="22"/>
              </w:rPr>
            </w:pPr>
            <w:r>
              <w:rPr>
                <w:sz w:val="22"/>
                <w:szCs w:val="22"/>
              </w:rPr>
              <w:t xml:space="preserve">E = 3 → </w:t>
            </w:r>
            <w:r>
              <w:rPr>
                <w:b/>
                <w:bCs/>
                <w:sz w:val="22"/>
                <w:szCs w:val="22"/>
              </w:rPr>
              <w:t>PASSES THE RULE</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3EC3070" w14:textId="77777777" w:rsidR="003C3118" w:rsidRPr="0057705B" w:rsidRDefault="00000000">
            <w:pPr>
              <w:spacing w:line="228" w:lineRule="auto"/>
              <w:jc w:val="center"/>
              <w:rPr>
                <w:sz w:val="22"/>
                <w:szCs w:val="22"/>
              </w:rPr>
            </w:pPr>
            <w:r>
              <w:rPr>
                <w:sz w:val="22"/>
                <w:szCs w:val="22"/>
              </w:rPr>
              <w:t xml:space="preserve">E = 4 → </w:t>
            </w:r>
            <w:r>
              <w:rPr>
                <w:b/>
                <w:bCs/>
                <w:sz w:val="22"/>
                <w:szCs w:val="22"/>
              </w:rPr>
              <w:t>PASSES THE RULE</w:t>
            </w:r>
          </w:p>
        </w:tc>
      </w:tr>
      <w:tr w:rsidR="003C3118" w:rsidRPr="0057705B" w14:paraId="22538C5F"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BA7FB2F" w14:textId="77777777" w:rsidR="003C3118" w:rsidRPr="0057705B" w:rsidRDefault="00000000">
            <w:pPr>
              <w:spacing w:line="228" w:lineRule="auto"/>
              <w:rPr>
                <w:sz w:val="22"/>
                <w:szCs w:val="22"/>
              </w:rPr>
            </w:pPr>
            <w:r>
              <w:rPr>
                <w:b/>
                <w:bCs/>
                <w:sz w:val="22"/>
                <w:szCs w:val="22"/>
              </w:rPr>
              <w:t>D · Data availability (20%)</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65C1EB5" w14:textId="77777777" w:rsidR="003C3118" w:rsidRPr="0057705B" w:rsidRDefault="00000000">
            <w:pPr>
              <w:spacing w:line="228" w:lineRule="auto"/>
              <w:rPr>
                <w:sz w:val="22"/>
                <w:szCs w:val="22"/>
              </w:rPr>
            </w:pPr>
            <w:r>
              <w:rPr>
                <w:b/>
                <w:bCs/>
                <w:sz w:val="22"/>
                <w:szCs w:val="22"/>
              </w:rPr>
              <w:t>4</w:t>
            </w:r>
            <w:r>
              <w:rPr>
                <w:sz w:val="22"/>
                <w:szCs w:val="22"/>
              </w:rPr>
              <w:t xml:space="preserve"> · BPI Challenge logs, synthetic benchmark with labeled violations, and pseudonymized XES/OCEL logs; public insurance logs are lacking.</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712B70F" w14:textId="77777777" w:rsidR="003C3118" w:rsidRPr="0057705B" w:rsidRDefault="00000000">
            <w:pPr>
              <w:spacing w:line="228" w:lineRule="auto"/>
              <w:rPr>
                <w:sz w:val="22"/>
                <w:szCs w:val="22"/>
              </w:rPr>
            </w:pPr>
            <w:r>
              <w:rPr>
                <w:b/>
                <w:bCs/>
                <w:sz w:val="22"/>
                <w:szCs w:val="22"/>
              </w:rPr>
              <w:t>4</w:t>
            </w:r>
            <w:r>
              <w:rPr>
                <w:sz w:val="22"/>
                <w:szCs w:val="22"/>
              </w:rPr>
              <w:t xml:space="preserve"> · Same sources; can rely more on the synthetic benchmark but still requires violation labels to measure conformance.</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40581DB" w14:textId="77777777" w:rsidR="003C3118" w:rsidRPr="0057705B" w:rsidRDefault="00000000">
            <w:pPr>
              <w:spacing w:line="228" w:lineRule="auto"/>
              <w:rPr>
                <w:sz w:val="22"/>
                <w:szCs w:val="22"/>
              </w:rPr>
            </w:pPr>
            <w:r>
              <w:rPr>
                <w:b/>
                <w:bCs/>
                <w:sz w:val="22"/>
                <w:szCs w:val="22"/>
              </w:rPr>
              <w:t>3</w:t>
            </w:r>
            <w:r>
              <w:rPr>
                <w:sz w:val="22"/>
                <w:szCs w:val="22"/>
              </w:rPr>
              <w:t xml:space="preserve"> · Direct access to logs and experts, but subject to institutional agreements, Law 29733, and ethics approval; data are neither publishable nor replicable.</w:t>
            </w:r>
          </w:p>
        </w:tc>
      </w:tr>
      <w:tr w:rsidR="003C3118" w:rsidRPr="0057705B" w14:paraId="71E8D141"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7A3CDBDE" w14:textId="77777777" w:rsidR="003C3118" w:rsidRPr="0057705B" w:rsidRDefault="00000000">
            <w:pPr>
              <w:spacing w:line="228" w:lineRule="auto"/>
              <w:rPr>
                <w:sz w:val="22"/>
                <w:szCs w:val="22"/>
              </w:rPr>
            </w:pPr>
            <w:r>
              <w:rPr>
                <w:b/>
                <w:bCs/>
                <w:sz w:val="22"/>
                <w:szCs w:val="22"/>
              </w:rPr>
              <w:t>F · Feasibility (15%)</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BCBDF2B" w14:textId="2111D5DD" w:rsidR="003C3118" w:rsidRPr="0057705B" w:rsidRDefault="00000000">
            <w:pPr>
              <w:spacing w:line="228" w:lineRule="auto"/>
              <w:rPr>
                <w:sz w:val="22"/>
                <w:szCs w:val="22"/>
              </w:rPr>
            </w:pPr>
            <w:r>
              <w:rPr>
                <w:b/>
                <w:bCs/>
                <w:sz w:val="22"/>
                <w:szCs w:val="22"/>
              </w:rPr>
              <w:t>4</w:t>
            </w:r>
            <w:r>
              <w:rPr>
                <w:sz w:val="22"/>
                <w:szCs w:val="22"/>
              </w:rPr>
              <w:t xml:space="preserve"> · Agent frameworks (ReAct) and process-mining libraries; shadow mode requires integration with the company.</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273D307E" w14:textId="77777777" w:rsidR="003C3118" w:rsidRPr="0057705B" w:rsidRDefault="00000000">
            <w:pPr>
              <w:spacing w:line="228" w:lineRule="auto"/>
              <w:rPr>
                <w:sz w:val="22"/>
                <w:szCs w:val="22"/>
              </w:rPr>
            </w:pPr>
            <w:r>
              <w:rPr>
                <w:b/>
                <w:bCs/>
                <w:sz w:val="22"/>
                <w:szCs w:val="22"/>
              </w:rPr>
              <w:t>5</w:t>
            </w:r>
            <w:r>
              <w:rPr>
                <w:sz w:val="22"/>
                <w:szCs w:val="22"/>
              </w:rPr>
              <w:t xml:space="preserve"> · Most direct pipeline: sandbox, baselines B1–B4, seeds, and ablations with no organizational dependency.</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717A0A44" w14:textId="77777777" w:rsidR="003C3118" w:rsidRPr="0057705B" w:rsidRDefault="00000000">
            <w:pPr>
              <w:spacing w:line="228" w:lineRule="auto"/>
              <w:rPr>
                <w:sz w:val="22"/>
                <w:szCs w:val="22"/>
              </w:rPr>
            </w:pPr>
            <w:r>
              <w:rPr>
                <w:b/>
                <w:bCs/>
                <w:sz w:val="22"/>
                <w:szCs w:val="22"/>
              </w:rPr>
              <w:t>2</w:t>
            </w:r>
            <w:r>
              <w:rPr>
                <w:sz w:val="22"/>
                <w:szCs w:val="22"/>
              </w:rPr>
              <w:t xml:space="preserve"> · Intervening in a regulated process with autonomous agents requires risk, IT, and compliance approvals; intervention cycles are slow for a 3–4-year timeframe.</w:t>
            </w:r>
          </w:p>
        </w:tc>
      </w:tr>
      <w:tr w:rsidR="003C3118" w:rsidRPr="0057705B" w14:paraId="5F9CFD6A"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BB0A2E0" w14:textId="77777777" w:rsidR="003C3118" w:rsidRPr="0057705B" w:rsidRDefault="00000000">
            <w:pPr>
              <w:spacing w:line="228" w:lineRule="auto"/>
              <w:rPr>
                <w:sz w:val="22"/>
                <w:szCs w:val="22"/>
              </w:rPr>
            </w:pPr>
            <w:r>
              <w:rPr>
                <w:b/>
                <w:bCs/>
                <w:sz w:val="22"/>
                <w:szCs w:val="22"/>
              </w:rPr>
              <w:t>C · Contribution type (20%)</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2653362" w14:textId="77777777" w:rsidR="003C3118" w:rsidRPr="0057705B" w:rsidRDefault="00000000">
            <w:pPr>
              <w:spacing w:line="228" w:lineRule="auto"/>
              <w:rPr>
                <w:sz w:val="22"/>
                <w:szCs w:val="22"/>
              </w:rPr>
            </w:pPr>
            <w:r>
              <w:rPr>
                <w:b/>
                <w:bCs/>
                <w:sz w:val="22"/>
                <w:szCs w:val="22"/>
              </w:rPr>
              <w:t>5</w:t>
            </w:r>
            <w:r>
              <w:rPr>
                <w:sz w:val="22"/>
                <w:szCs w:val="22"/>
              </w:rPr>
              <w:t xml:space="preserve"> · Improvement with exaptation (Gregor &amp; Hevner, 2013): method to translate process models into executable constraints, instantiation, and design principles.</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F70FF6E" w14:textId="77777777" w:rsidR="003C3118" w:rsidRPr="0057705B" w:rsidRDefault="00000000">
            <w:pPr>
              <w:spacing w:line="228" w:lineRule="auto"/>
              <w:rPr>
                <w:sz w:val="22"/>
                <w:szCs w:val="22"/>
              </w:rPr>
            </w:pPr>
            <w:r>
              <w:rPr>
                <w:b/>
                <w:bCs/>
                <w:sz w:val="22"/>
                <w:szCs w:val="22"/>
              </w:rPr>
              <w:t>3</w:t>
            </w:r>
            <w:r>
              <w:rPr>
                <w:sz w:val="22"/>
                <w:szCs w:val="22"/>
              </w:rPr>
              <w:t xml:space="preserve"> · Solid empirical evidence, but without design theory it risks being read as routine design.</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D040E15" w14:textId="77777777" w:rsidR="003C3118" w:rsidRPr="0057705B" w:rsidRDefault="00000000">
            <w:pPr>
              <w:spacing w:line="228" w:lineRule="auto"/>
              <w:rPr>
                <w:sz w:val="22"/>
                <w:szCs w:val="22"/>
              </w:rPr>
            </w:pPr>
            <w:r>
              <w:rPr>
                <w:b/>
                <w:bCs/>
                <w:sz w:val="22"/>
                <w:szCs w:val="22"/>
              </w:rPr>
              <w:t>4</w:t>
            </w:r>
            <w:r>
              <w:rPr>
                <w:sz w:val="22"/>
                <w:szCs w:val="22"/>
              </w:rPr>
              <w:t xml:space="preserve"> · Artifact and principles with high practical relevance, with lower generalization beyond the organizational context.</w:t>
            </w:r>
          </w:p>
        </w:tc>
      </w:tr>
      <w:tr w:rsidR="003C3118" w:rsidRPr="0057705B" w14:paraId="04E5F001"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24B2B7C8" w14:textId="77777777" w:rsidR="003C3118" w:rsidRPr="0057705B" w:rsidRDefault="00000000">
            <w:pPr>
              <w:spacing w:line="228" w:lineRule="auto"/>
              <w:rPr>
                <w:sz w:val="22"/>
                <w:szCs w:val="22"/>
              </w:rPr>
            </w:pPr>
            <w:r>
              <w:rPr>
                <w:b/>
                <w:bCs/>
                <w:sz w:val="22"/>
                <w:szCs w:val="22"/>
              </w:rPr>
              <w:lastRenderedPageBreak/>
              <w:t>V · Venue fit (15%)</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77413930" w14:textId="77777777" w:rsidR="003C3118" w:rsidRPr="0057705B" w:rsidRDefault="00000000">
            <w:pPr>
              <w:spacing w:line="228" w:lineRule="auto"/>
              <w:rPr>
                <w:sz w:val="22"/>
                <w:szCs w:val="22"/>
              </w:rPr>
            </w:pPr>
            <w:r>
              <w:rPr>
                <w:b/>
                <w:bCs/>
                <w:sz w:val="22"/>
                <w:szCs w:val="22"/>
              </w:rPr>
              <w:t>5</w:t>
            </w:r>
            <w:r>
              <w:rPr>
                <w:sz w:val="22"/>
                <w:szCs w:val="22"/>
              </w:rPr>
              <w:t xml:space="preserve"> · Fits ICSE (where AgentSpec was published), BPM, CAiSE, and </w:t>
            </w:r>
            <w:r>
              <w:rPr>
                <w:i/>
                <w:iCs/>
                <w:sz w:val="22"/>
                <w:szCs w:val="22"/>
              </w:rPr>
              <w:t>Information Systems</w:t>
            </w:r>
            <w:r>
              <w:rPr>
                <w:sz w:val="22"/>
                <w:szCs w:val="22"/>
              </w:rPr>
              <w:t>.</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C3BD5DC" w14:textId="77777777" w:rsidR="003C3118" w:rsidRPr="0057705B" w:rsidRDefault="00000000">
            <w:pPr>
              <w:spacing w:line="228" w:lineRule="auto"/>
              <w:rPr>
                <w:sz w:val="22"/>
                <w:szCs w:val="22"/>
              </w:rPr>
            </w:pPr>
            <w:r>
              <w:rPr>
                <w:b/>
                <w:bCs/>
                <w:sz w:val="22"/>
                <w:szCs w:val="22"/>
              </w:rPr>
              <w:t>4</w:t>
            </w:r>
            <w:r>
              <w:rPr>
                <w:sz w:val="22"/>
                <w:szCs w:val="22"/>
              </w:rPr>
              <w:t xml:space="preserve"> · Suitable for NeurIPS D&amp;B or empirical </w:t>
            </w:r>
            <w:r>
              <w:rPr>
                <w:i/>
                <w:iCs/>
                <w:sz w:val="22"/>
                <w:szCs w:val="22"/>
              </w:rPr>
              <w:t>tracks</w:t>
            </w:r>
            <w:r>
              <w:rPr>
                <w:sz w:val="22"/>
                <w:szCs w:val="22"/>
              </w:rPr>
              <w:t>, which now require construct validity.</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E88104B" w14:textId="77777777" w:rsidR="003C3118" w:rsidRPr="0057705B" w:rsidRDefault="00000000">
            <w:pPr>
              <w:spacing w:line="228" w:lineRule="auto"/>
              <w:rPr>
                <w:sz w:val="22"/>
                <w:szCs w:val="22"/>
              </w:rPr>
            </w:pPr>
            <w:r>
              <w:rPr>
                <w:b/>
                <w:bCs/>
                <w:sz w:val="22"/>
                <w:szCs w:val="22"/>
              </w:rPr>
              <w:t>3</w:t>
            </w:r>
            <w:r>
              <w:rPr>
                <w:sz w:val="22"/>
                <w:szCs w:val="22"/>
              </w:rPr>
              <w:t xml:space="preserve"> · Strong in MIS Quarterly and EJIS; weak fit with ML and software engineering venues.</w:t>
            </w:r>
          </w:p>
        </w:tc>
      </w:tr>
      <w:tr w:rsidR="003C3118" w:rsidRPr="0057705B" w14:paraId="0A64263E"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4351947" w14:textId="77777777" w:rsidR="003C3118" w:rsidRPr="0057705B" w:rsidRDefault="00000000">
            <w:pPr>
              <w:spacing w:line="228" w:lineRule="auto"/>
              <w:rPr>
                <w:sz w:val="22"/>
                <w:szCs w:val="22"/>
              </w:rPr>
            </w:pPr>
            <w:r>
              <w:rPr>
                <w:b/>
                <w:bCs/>
                <w:sz w:val="22"/>
                <w:szCs w:val="22"/>
              </w:rPr>
              <w:t>Raw score (/25)</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4177424" w14:textId="77777777" w:rsidR="003C3118" w:rsidRPr="0057705B" w:rsidRDefault="00000000">
            <w:pPr>
              <w:spacing w:line="228" w:lineRule="auto"/>
              <w:jc w:val="center"/>
              <w:rPr>
                <w:sz w:val="22"/>
                <w:szCs w:val="22"/>
              </w:rPr>
            </w:pPr>
            <w:r>
              <w:rPr>
                <w:sz w:val="22"/>
                <w:szCs w:val="22"/>
              </w:rPr>
              <w:t>23</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12CF372A" w14:textId="77777777" w:rsidR="003C3118" w:rsidRPr="0057705B" w:rsidRDefault="00000000">
            <w:pPr>
              <w:spacing w:line="228" w:lineRule="auto"/>
              <w:jc w:val="center"/>
              <w:rPr>
                <w:sz w:val="22"/>
                <w:szCs w:val="22"/>
              </w:rPr>
            </w:pPr>
            <w:r>
              <w:rPr>
                <w:sz w:val="22"/>
                <w:szCs w:val="22"/>
              </w:rPr>
              <w:t>19</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283EE92" w14:textId="77777777" w:rsidR="003C3118" w:rsidRPr="0057705B" w:rsidRDefault="00000000">
            <w:pPr>
              <w:spacing w:line="228" w:lineRule="auto"/>
              <w:jc w:val="center"/>
              <w:rPr>
                <w:sz w:val="22"/>
                <w:szCs w:val="22"/>
              </w:rPr>
            </w:pPr>
            <w:r>
              <w:rPr>
                <w:sz w:val="22"/>
                <w:szCs w:val="22"/>
              </w:rPr>
              <w:t>16</w:t>
            </w:r>
          </w:p>
        </w:tc>
      </w:tr>
      <w:tr w:rsidR="003C3118" w:rsidRPr="0057705B" w14:paraId="41375497"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F1BCBC6" w14:textId="77777777" w:rsidR="003C3118" w:rsidRPr="0057705B" w:rsidRDefault="00000000">
            <w:pPr>
              <w:spacing w:line="228" w:lineRule="auto"/>
              <w:rPr>
                <w:sz w:val="22"/>
                <w:szCs w:val="22"/>
              </w:rPr>
            </w:pPr>
            <w:r>
              <w:rPr>
                <w:b/>
                <w:bCs/>
                <w:sz w:val="22"/>
                <w:szCs w:val="22"/>
              </w:rPr>
              <w:t>Weighted calculation</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28654E10" w14:textId="77777777" w:rsidR="003C3118" w:rsidRPr="0057705B" w:rsidRDefault="00000000">
            <w:pPr>
              <w:spacing w:line="228" w:lineRule="auto"/>
              <w:jc w:val="center"/>
              <w:rPr>
                <w:sz w:val="22"/>
                <w:szCs w:val="22"/>
              </w:rPr>
            </w:pPr>
            <w:r>
              <w:rPr>
                <w:sz w:val="22"/>
                <w:szCs w:val="22"/>
              </w:rPr>
              <w:t>5×0.30 + 4×0.20 + 4×0.15 + 5×0.20 + 5×0.15</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51707B33" w14:textId="77777777" w:rsidR="003C3118" w:rsidRPr="0057705B" w:rsidRDefault="00000000">
            <w:pPr>
              <w:spacing w:line="228" w:lineRule="auto"/>
              <w:jc w:val="center"/>
              <w:rPr>
                <w:sz w:val="22"/>
                <w:szCs w:val="22"/>
              </w:rPr>
            </w:pPr>
            <w:r>
              <w:rPr>
                <w:sz w:val="22"/>
                <w:szCs w:val="22"/>
              </w:rPr>
              <w:t>3×0.30 + 4×0.20 + 5×0.15 + 3×0.20 + 4×0.15</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633346FD" w14:textId="77777777" w:rsidR="003C3118" w:rsidRPr="0057705B" w:rsidRDefault="00000000">
            <w:pPr>
              <w:spacing w:line="228" w:lineRule="auto"/>
              <w:jc w:val="center"/>
              <w:rPr>
                <w:sz w:val="22"/>
                <w:szCs w:val="22"/>
              </w:rPr>
            </w:pPr>
            <w:r>
              <w:rPr>
                <w:sz w:val="22"/>
                <w:szCs w:val="22"/>
              </w:rPr>
              <w:t>4×0.30 + 3×0.20 + 2×0.15 + 4×0.20 + 3×0.15</w:t>
            </w:r>
          </w:p>
        </w:tc>
      </w:tr>
      <w:tr w:rsidR="003C3118" w:rsidRPr="0057705B" w14:paraId="5BB0038C"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02B5084A" w14:textId="77777777" w:rsidR="003C3118" w:rsidRPr="0057705B" w:rsidRDefault="00000000">
            <w:pPr>
              <w:spacing w:line="228" w:lineRule="auto"/>
              <w:rPr>
                <w:sz w:val="22"/>
                <w:szCs w:val="22"/>
              </w:rPr>
            </w:pPr>
            <w:r>
              <w:rPr>
                <w:b/>
                <w:bCs/>
                <w:sz w:val="22"/>
                <w:szCs w:val="22"/>
              </w:rPr>
              <w:t>Weighted total (/5) · (/100)</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760BB3C7" w14:textId="77777777" w:rsidR="003C3118" w:rsidRPr="0057705B" w:rsidRDefault="00000000">
            <w:pPr>
              <w:spacing w:line="228" w:lineRule="auto"/>
              <w:jc w:val="center"/>
              <w:rPr>
                <w:sz w:val="22"/>
                <w:szCs w:val="22"/>
              </w:rPr>
            </w:pPr>
            <w:r>
              <w:rPr>
                <w:b/>
                <w:bCs/>
                <w:sz w:val="22"/>
                <w:szCs w:val="22"/>
              </w:rPr>
              <w:t>★ 4.65 · 93 — WINNER</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9FCE2A4" w14:textId="77777777" w:rsidR="003C3118" w:rsidRPr="0057705B" w:rsidRDefault="00000000">
            <w:pPr>
              <w:spacing w:line="228" w:lineRule="auto"/>
              <w:jc w:val="center"/>
              <w:rPr>
                <w:sz w:val="22"/>
                <w:szCs w:val="22"/>
              </w:rPr>
            </w:pPr>
            <w:r>
              <w:rPr>
                <w:b/>
                <w:bCs/>
                <w:sz w:val="22"/>
                <w:szCs w:val="22"/>
              </w:rPr>
              <w:t>3.65 · 73</w:t>
            </w:r>
          </w:p>
        </w:tc>
        <w:tc>
          <w:tcPr>
            <w:tcW w:w="43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358F7609" w14:textId="77777777" w:rsidR="003C3118" w:rsidRPr="0057705B" w:rsidRDefault="00000000">
            <w:pPr>
              <w:spacing w:line="228" w:lineRule="auto"/>
              <w:jc w:val="center"/>
              <w:rPr>
                <w:sz w:val="22"/>
                <w:szCs w:val="22"/>
              </w:rPr>
            </w:pPr>
            <w:r>
              <w:rPr>
                <w:b/>
                <w:bCs/>
                <w:sz w:val="22"/>
                <w:szCs w:val="22"/>
              </w:rPr>
              <w:t>3.35 · 67</w:t>
            </w:r>
          </w:p>
        </w:tc>
      </w:tr>
    </w:tbl>
    <w:p w14:paraId="0A84E841" w14:textId="77777777" w:rsidR="003C3118" w:rsidRPr="0057705B" w:rsidRDefault="00000000">
      <w:pPr>
        <w:spacing w:before="30" w:after="50"/>
        <w:rPr>
          <w:sz w:val="22"/>
          <w:szCs w:val="22"/>
        </w:rPr>
      </w:pPr>
      <w:r>
        <w:rPr>
          <w:i/>
          <w:iCs/>
          <w:sz w:val="22"/>
          <w:szCs w:val="22"/>
        </w:rPr>
        <w:t>No method obtained E ≤ 2; all three proceeded to the weighted calculation. Weights: E 30% · D 20% · F 15% · C 20% · V 15% = 100%.</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12900"/>
      </w:tblGrid>
      <w:tr w:rsidR="003C3118" w:rsidRPr="0057705B" w14:paraId="73BC44C4" w14:textId="77777777" w:rsidTr="001835A3">
        <w:trPr>
          <w:cantSplit/>
        </w:trPr>
        <w:tc>
          <w:tcPr>
            <w:tcW w:w="2498"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27CEC9A6" w14:textId="77777777" w:rsidR="003C3118" w:rsidRPr="0057705B" w:rsidRDefault="00000000">
            <w:pPr>
              <w:spacing w:line="228" w:lineRule="auto"/>
              <w:rPr>
                <w:sz w:val="22"/>
                <w:szCs w:val="22"/>
              </w:rPr>
            </w:pPr>
            <w:r>
              <w:rPr>
                <w:b/>
                <w:bCs/>
                <w:sz w:val="22"/>
                <w:szCs w:val="22"/>
              </w:rPr>
              <w:t>Methodological conclusion</w:t>
            </w:r>
          </w:p>
        </w:tc>
        <w:tc>
          <w:tcPr>
            <w:tcW w:w="12900" w:type="dxa"/>
            <w:tcBorders>
              <w:top w:val="single" w:sz="4" w:space="0" w:color="B8C4D6"/>
              <w:left w:val="single" w:sz="4" w:space="0" w:color="B8C4D6"/>
              <w:bottom w:val="single" w:sz="4" w:space="0" w:color="B8C4D6"/>
              <w:right w:val="single" w:sz="4" w:space="0" w:color="B8C4D6"/>
            </w:tcBorders>
            <w:tcMar>
              <w:top w:w="30" w:type="dxa"/>
              <w:left w:w="70" w:type="dxa"/>
              <w:bottom w:w="30" w:type="dxa"/>
              <w:right w:w="70" w:type="dxa"/>
            </w:tcMar>
            <w:vAlign w:val="center"/>
          </w:tcPr>
          <w:p w14:paraId="431ABC72" w14:textId="77777777" w:rsidR="003C3118" w:rsidRPr="0057705B" w:rsidRDefault="00000000">
            <w:pPr>
              <w:spacing w:line="228" w:lineRule="auto"/>
              <w:jc w:val="both"/>
              <w:rPr>
                <w:sz w:val="22"/>
                <w:szCs w:val="22"/>
              </w:rPr>
            </w:pPr>
            <w:r>
              <w:rPr>
                <w:sz w:val="22"/>
                <w:szCs w:val="22"/>
              </w:rPr>
              <w:t xml:space="preserve">The winning method is </w:t>
            </w:r>
            <w:r>
              <w:rPr>
                <w:b/>
                <w:bCs/>
                <w:sz w:val="22"/>
                <w:szCs w:val="22"/>
              </w:rPr>
              <w:t>M1: Design Science Research Methodology with offline experimental and shadow-mode evaluation</w:t>
            </w:r>
            <w:r>
              <w:rPr>
                <w:sz w:val="22"/>
                <w:szCs w:val="22"/>
              </w:rPr>
              <w:t xml:space="preserve"> (4.65/5). Its advantage lies not in the total but in being the only method that answers both parts of the question: the design part ("how to design?") and the evaluative part ("to what extent does it reduce?"). It integrates M2’s computational experiment as a rigorous evaluation technique and retains M3’s realism through shadow mode, without exposing policyholders to autonomous decisions. It is the soundest technical decision because it produces the artifact, its design principles, and reproducible statistical evidence, feasibly within the doctoral timeframe and aligned with the venues where this type of work is published.</w:t>
            </w:r>
          </w:p>
        </w:tc>
      </w:tr>
    </w:tbl>
    <w:p w14:paraId="18A70DDD" w14:textId="0ABE3390" w:rsidR="003C3118" w:rsidRDefault="003C3118" w:rsidP="001835A3">
      <w:pPr>
        <w:spacing w:before="40"/>
      </w:pPr>
    </w:p>
    <w:sectPr w:rsidR="003C3118">
      <w:pgSz w:w="16838" w:h="11906" w:orient="landscape"/>
      <w:pgMar w:top="567" w:right="720" w:bottom="454"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965A0"/>
    <w:multiLevelType w:val="hybridMultilevel"/>
    <w:tmpl w:val="E9144714"/>
    <w:lvl w:ilvl="0" w:tplc="3FF4FCD4">
      <w:start w:val="1"/>
      <w:numFmt w:val="bullet"/>
      <w:lvlText w:val="●"/>
      <w:lvlJc w:val="left"/>
      <w:pPr>
        <w:ind w:left="720" w:hanging="360"/>
      </w:pPr>
    </w:lvl>
    <w:lvl w:ilvl="1" w:tplc="16681AC2">
      <w:start w:val="1"/>
      <w:numFmt w:val="bullet"/>
      <w:lvlText w:val="○"/>
      <w:lvlJc w:val="left"/>
      <w:pPr>
        <w:ind w:left="1440" w:hanging="360"/>
      </w:pPr>
    </w:lvl>
    <w:lvl w:ilvl="2" w:tplc="0C2E9EFA">
      <w:start w:val="1"/>
      <w:numFmt w:val="bullet"/>
      <w:lvlText w:val="■"/>
      <w:lvlJc w:val="left"/>
      <w:pPr>
        <w:ind w:left="2160" w:hanging="360"/>
      </w:pPr>
    </w:lvl>
    <w:lvl w:ilvl="3" w:tplc="8AD8E28A">
      <w:start w:val="1"/>
      <w:numFmt w:val="bullet"/>
      <w:lvlText w:val="●"/>
      <w:lvlJc w:val="left"/>
      <w:pPr>
        <w:ind w:left="2880" w:hanging="360"/>
      </w:pPr>
    </w:lvl>
    <w:lvl w:ilvl="4" w:tplc="5BDEF1AE">
      <w:start w:val="1"/>
      <w:numFmt w:val="bullet"/>
      <w:lvlText w:val="○"/>
      <w:lvlJc w:val="left"/>
      <w:pPr>
        <w:ind w:left="3600" w:hanging="360"/>
      </w:pPr>
    </w:lvl>
    <w:lvl w:ilvl="5" w:tplc="50C02DD2">
      <w:start w:val="1"/>
      <w:numFmt w:val="bullet"/>
      <w:lvlText w:val="■"/>
      <w:lvlJc w:val="left"/>
      <w:pPr>
        <w:ind w:left="4320" w:hanging="360"/>
      </w:pPr>
    </w:lvl>
    <w:lvl w:ilvl="6" w:tplc="6194EA3A">
      <w:start w:val="1"/>
      <w:numFmt w:val="bullet"/>
      <w:lvlText w:val="●"/>
      <w:lvlJc w:val="left"/>
      <w:pPr>
        <w:ind w:left="5040" w:hanging="360"/>
      </w:pPr>
    </w:lvl>
    <w:lvl w:ilvl="7" w:tplc="6B66C4BE">
      <w:start w:val="1"/>
      <w:numFmt w:val="bullet"/>
      <w:lvlText w:val="●"/>
      <w:lvlJc w:val="left"/>
      <w:pPr>
        <w:ind w:left="5760" w:hanging="360"/>
      </w:pPr>
    </w:lvl>
    <w:lvl w:ilvl="8" w:tplc="34C48B16">
      <w:start w:val="1"/>
      <w:numFmt w:val="bullet"/>
      <w:lvlText w:val="●"/>
      <w:lvlJc w:val="left"/>
      <w:pPr>
        <w:ind w:left="6480" w:hanging="360"/>
      </w:pPr>
    </w:lvl>
  </w:abstractNum>
  <w:num w:numId="1" w16cid:durableId="1672638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18"/>
    <w:rsid w:val="001835A3"/>
    <w:rsid w:val="003C3118"/>
    <w:rsid w:val="0057705B"/>
    <w:rsid w:val="006923E4"/>
    <w:rsid w:val="00C85FB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0D80"/>
  <w15:docId w15:val="{9A6341A0-11C9-4322-87A7-48B6ABD4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799</Words>
  <Characters>4400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Matriz de Ajuste del Método (E.D.F.C.V.)</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Method-Fit Matrix (E.D.F.C.V.)</dc:title>
  <dc:creator>Henry Francisco Sánchez Parra</dc:creator>
  <cp:lastModifiedBy>Henry Francisco Sánchez Parra</cp:lastModifiedBy>
  <cp:revision>2</cp:revision>
  <dcterms:created xsi:type="dcterms:W3CDTF">2026-09-17T05:02:00Z</dcterms:created>
  <dcterms:modified xsi:type="dcterms:W3CDTF">2026-09-17T05:02:00Z</dcterms:modified>
</cp:coreProperties>
</file>