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9C94" w14:textId="77777777" w:rsidR="001F66D7" w:rsidRPr="00BF2288" w:rsidRDefault="00000000" w:rsidP="00BF2288">
      <w:pPr>
        <w:spacing w:line="276" w:lineRule="auto"/>
        <w:jc w:val="center"/>
        <w:rPr>
          <w:b/>
          <w:bCs/>
          <w:sz w:val="22"/>
          <w:szCs w:val="22"/>
        </w:rPr>
      </w:pPr>
      <w:r w:rsidRPr="00BF2288">
        <w:rPr>
          <w:b/>
          <w:bCs/>
          <w:sz w:val="22"/>
          <w:szCs w:val="22"/>
        </w:rPr>
        <w:t>PROTOCOLO DE INVESTIGACIÓN DOCTORAL</w:t>
      </w:r>
    </w:p>
    <w:p w14:paraId="7C8FB6BA" w14:textId="77777777" w:rsidR="00BF2288" w:rsidRPr="00BF2288" w:rsidRDefault="00BF2288" w:rsidP="00BF2288">
      <w:pPr>
        <w:spacing w:line="276" w:lineRule="auto"/>
        <w:jc w:val="center"/>
        <w:rPr>
          <w:sz w:val="22"/>
          <w:szCs w:val="22"/>
        </w:rPr>
      </w:pPr>
    </w:p>
    <w:p w14:paraId="69915C8C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>1. Título</w:t>
      </w:r>
      <w:r w:rsidRPr="00BF2288">
        <w:rPr>
          <w:b/>
          <w:bCs/>
          <w:color w:val="1E2761"/>
          <w:sz w:val="22"/>
          <w:szCs w:val="22"/>
        </w:rPr>
        <w:t xml:space="preserve">. </w:t>
      </w:r>
      <w:r w:rsidRPr="00BF2288">
        <w:rPr>
          <w:sz w:val="22"/>
          <w:szCs w:val="22"/>
        </w:rPr>
        <w:t>Verificación neuro-simbólica en tiempo de ejecución de agentes basados en LLM mediante restricciones obtenidas por minería de procesos en la gestión de siniestros de seguros en el Perú</w:t>
      </w:r>
      <w:r w:rsidRPr="00BF2288">
        <w:rPr>
          <w:b/>
          <w:bCs/>
          <w:sz w:val="22"/>
          <w:szCs w:val="22"/>
        </w:rPr>
        <w:t>.</w:t>
      </w:r>
    </w:p>
    <w:p w14:paraId="089864AB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>2. Resumen</w:t>
      </w:r>
      <w:r w:rsidRPr="00BF2288">
        <w:rPr>
          <w:b/>
          <w:bCs/>
          <w:color w:val="1E2761"/>
          <w:sz w:val="22"/>
          <w:szCs w:val="22"/>
        </w:rPr>
        <w:t xml:space="preserve">. </w:t>
      </w:r>
      <w:r w:rsidRPr="00BF2288">
        <w:rPr>
          <w:sz w:val="22"/>
          <w:szCs w:val="22"/>
        </w:rPr>
        <w:t xml:space="preserve">Los agentes basados en LLM ya ejecutan acciones en procesos regulados, pero su cumplimiento de las reglas procedimentales no está garantizado. Se diseñará y evaluará una arquitectura neuro-simbólica que mina restricciones declarativas de los logs de eventos y bloquea las acciones del agente </w:t>
      </w:r>
      <w:r w:rsidRPr="00BF2288">
        <w:rPr>
          <w:i/>
          <w:iCs/>
          <w:sz w:val="22"/>
          <w:szCs w:val="22"/>
        </w:rPr>
        <w:t>antes</w:t>
      </w:r>
      <w:r w:rsidRPr="00BF2288">
        <w:rPr>
          <w:sz w:val="22"/>
          <w:szCs w:val="22"/>
        </w:rPr>
        <w:t xml:space="preserve"> de que surtan efecto. Se aplica la DSRM, operacionalizada con CRISP-ML(Q), en tres ciclos de construcción y evaluación de realismo creciente, con comparación frente a cuatro líneas base. La contribución es una mejora con </w:t>
      </w:r>
      <w:proofErr w:type="spellStart"/>
      <w:r w:rsidRPr="00BF2288">
        <w:rPr>
          <w:sz w:val="22"/>
          <w:szCs w:val="22"/>
        </w:rPr>
        <w:t>exaptación</w:t>
      </w:r>
      <w:proofErr w:type="spellEnd"/>
      <w:r w:rsidRPr="00BF2288">
        <w:rPr>
          <w:sz w:val="22"/>
          <w:szCs w:val="22"/>
        </w:rPr>
        <w:t xml:space="preserve"> (</w:t>
      </w:r>
      <w:proofErr w:type="spellStart"/>
      <w:r w:rsidRPr="00BF2288">
        <w:rPr>
          <w:sz w:val="22"/>
          <w:szCs w:val="22"/>
        </w:rPr>
        <w:t>Gregor</w:t>
      </w:r>
      <w:proofErr w:type="spellEnd"/>
      <w:r w:rsidRPr="00BF2288">
        <w:rPr>
          <w:sz w:val="22"/>
          <w:szCs w:val="22"/>
        </w:rPr>
        <w:t xml:space="preserve"> y Hevner, 2013).</w:t>
      </w:r>
    </w:p>
    <w:p w14:paraId="595AB216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>3. Planteamiento del problema. Situación:</w:t>
      </w:r>
      <w:r w:rsidRPr="00BF2288">
        <w:rPr>
          <w:sz w:val="22"/>
          <w:szCs w:val="22"/>
        </w:rPr>
        <w:t xml:space="preserve"> se introducen agentes LLM para ejecutar pasos de procesos regulados, como la gestión de siniestros. </w:t>
      </w:r>
      <w:r w:rsidRPr="00BF2288">
        <w:rPr>
          <w:b/>
          <w:bCs/>
          <w:sz w:val="22"/>
          <w:szCs w:val="22"/>
        </w:rPr>
        <w:t>Lo desconocido:</w:t>
      </w:r>
      <w:r w:rsidRPr="00BF2288">
        <w:rPr>
          <w:sz w:val="22"/>
          <w:szCs w:val="22"/>
        </w:rPr>
        <w:t xml:space="preserve"> sus violaciones de reglas están documentadas, pero no se sabe si una arquitectura puede prevenirlas de forma verificable y antes de que surtan efecto, con restricciones derivadas del propio proceso y sin reducir la resolución autónoma correcta. </w:t>
      </w:r>
      <w:r w:rsidRPr="00BF2288">
        <w:rPr>
          <w:b/>
          <w:bCs/>
          <w:sz w:val="22"/>
          <w:szCs w:val="22"/>
        </w:rPr>
        <w:t>Por qué ahora:</w:t>
      </w:r>
      <w:r w:rsidRPr="00BF2288">
        <w:rPr>
          <w:sz w:val="22"/>
          <w:szCs w:val="22"/>
        </w:rPr>
        <w:t xml:space="preserve"> desde setiembre de 2026, el DS 115-2025-PCM exige transparencia y supervisión humana a los sistemas de IA de riesgo alto del sector económico y financiero. </w:t>
      </w:r>
      <w:r w:rsidRPr="00BF2288">
        <w:rPr>
          <w:b/>
          <w:bCs/>
          <w:sz w:val="22"/>
          <w:szCs w:val="22"/>
        </w:rPr>
        <w:t>Brecha de implementación:</w:t>
      </w:r>
      <w:r w:rsidRPr="00BF2288">
        <w:rPr>
          <w:sz w:val="22"/>
          <w:szCs w:val="22"/>
        </w:rPr>
        <w:t xml:space="preserve"> la precisión en </w:t>
      </w:r>
      <w:proofErr w:type="spellStart"/>
      <w:r w:rsidRPr="00BF2288">
        <w:rPr>
          <w:sz w:val="22"/>
          <w:szCs w:val="22"/>
        </w:rPr>
        <w:t>benchmarks</w:t>
      </w:r>
      <w:proofErr w:type="spellEnd"/>
      <w:r w:rsidRPr="00BF2288">
        <w:rPr>
          <w:sz w:val="22"/>
          <w:szCs w:val="22"/>
        </w:rPr>
        <w:t xml:space="preserve"> no es un hallazgo; solo el 16 % de 445 </w:t>
      </w:r>
      <w:proofErr w:type="spellStart"/>
      <w:r w:rsidRPr="00BF2288">
        <w:rPr>
          <w:sz w:val="22"/>
          <w:szCs w:val="22"/>
        </w:rPr>
        <w:t>benchmarks</w:t>
      </w:r>
      <w:proofErr w:type="spellEnd"/>
      <w:r w:rsidRPr="00BF2288">
        <w:rPr>
          <w:sz w:val="22"/>
          <w:szCs w:val="22"/>
        </w:rPr>
        <w:t xml:space="preserve"> de LLM aplicó pruebas estadísticas (Bean et al., 2025).</w:t>
      </w:r>
    </w:p>
    <w:p w14:paraId="076ED827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 xml:space="preserve">4. Revisión de literatura. </w:t>
      </w:r>
      <w:proofErr w:type="spellStart"/>
      <w:r w:rsidRPr="00BF2288">
        <w:rPr>
          <w:sz w:val="22"/>
          <w:szCs w:val="22"/>
        </w:rPr>
        <w:t>Design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Science</w:t>
      </w:r>
      <w:proofErr w:type="spellEnd"/>
      <w:r w:rsidRPr="00BF2288">
        <w:rPr>
          <w:sz w:val="22"/>
          <w:szCs w:val="22"/>
        </w:rPr>
        <w:t xml:space="preserve"> (Hevner et al., 2004; Peffers et al., 2007); agentes y autocorrección, que no es fiable sin retroalimentación externa (Yao et al., 2023; Huang et al., 2024); control en tiempo de ejecución con reglas escritas a mano (Wang et al., 2026); minería declarativa y monitoreo </w:t>
      </w:r>
      <w:proofErr w:type="spellStart"/>
      <w:r w:rsidRPr="00BF2288">
        <w:rPr>
          <w:sz w:val="22"/>
          <w:szCs w:val="22"/>
        </w:rPr>
        <w:t>LTLf</w:t>
      </w:r>
      <w:proofErr w:type="spellEnd"/>
      <w:r w:rsidRPr="00BF2288">
        <w:rPr>
          <w:sz w:val="22"/>
          <w:szCs w:val="22"/>
        </w:rPr>
        <w:t xml:space="preserve"> (Maggi et al., 2011; Di Ciccio y Montali, 2022). </w:t>
      </w:r>
      <w:r w:rsidRPr="00BF2288">
        <w:rPr>
          <w:b/>
          <w:bCs/>
          <w:sz w:val="22"/>
          <w:szCs w:val="22"/>
        </w:rPr>
        <w:t>Brecha:</w:t>
      </w:r>
      <w:r w:rsidRPr="00BF2288">
        <w:rPr>
          <w:sz w:val="22"/>
          <w:szCs w:val="22"/>
        </w:rPr>
        <w:t xml:space="preserve"> ninguna arquitectura usa restricciones minadas para bloquear acciones de agentes LLM antes de ejecutarse, con evaluación estadística en un dominio regulado. La novedad se documentará con una revisión PRISMA 2020.</w:t>
      </w:r>
    </w:p>
    <w:p w14:paraId="426701B2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>5. Preguntas, hipótesis y objetivos. PI1:</w:t>
      </w:r>
      <w:r w:rsidRPr="00BF2288">
        <w:rPr>
          <w:sz w:val="22"/>
          <w:szCs w:val="22"/>
        </w:rPr>
        <w:t xml:space="preserve"> ¿cómo diseñar la arquitectura? </w:t>
      </w:r>
      <w:r w:rsidRPr="00BF2288">
        <w:rPr>
          <w:b/>
          <w:bCs/>
          <w:sz w:val="22"/>
          <w:szCs w:val="22"/>
        </w:rPr>
        <w:t>PI2:</w:t>
      </w:r>
      <w:r w:rsidRPr="00BF2288">
        <w:rPr>
          <w:sz w:val="22"/>
          <w:szCs w:val="22"/>
        </w:rPr>
        <w:t xml:space="preserve"> ¿en qué medida reduce violaciones y errores no detectados sin perder resolución autónoma correcta? </w:t>
      </w:r>
      <w:r w:rsidRPr="00BF2288">
        <w:rPr>
          <w:b/>
          <w:bCs/>
          <w:sz w:val="22"/>
          <w:szCs w:val="22"/>
        </w:rPr>
        <w:t>PI3:</w:t>
      </w:r>
      <w:r w:rsidRPr="00BF2288">
        <w:rPr>
          <w:sz w:val="22"/>
          <w:szCs w:val="22"/>
        </w:rPr>
        <w:t xml:space="preserve"> ¿qué componentes y principios explican el efecto? </w:t>
      </w:r>
      <w:r w:rsidRPr="00BF2288">
        <w:rPr>
          <w:b/>
          <w:bCs/>
          <w:sz w:val="22"/>
          <w:szCs w:val="22"/>
        </w:rPr>
        <w:t>Hipótesis</w:t>
      </w:r>
      <w:r w:rsidRPr="00BF2288">
        <w:rPr>
          <w:sz w:val="22"/>
          <w:szCs w:val="22"/>
        </w:rPr>
        <w:t xml:space="preserve"> (conjunto de prueba reservado): </w:t>
      </w:r>
      <w:r w:rsidRPr="00BF2288">
        <w:rPr>
          <w:b/>
          <w:bCs/>
          <w:sz w:val="22"/>
          <w:szCs w:val="22"/>
        </w:rPr>
        <w:t>H1</w:t>
      </w:r>
      <w:r w:rsidRPr="00BF2288">
        <w:rPr>
          <w:sz w:val="22"/>
          <w:szCs w:val="22"/>
        </w:rPr>
        <w:t xml:space="preserve"> A reduce la tasa de violación de restricciones duras (TVRD) frente a B1 sin verificación, B2 con autocorrección y B3 con verificación </w:t>
      </w:r>
      <w:proofErr w:type="spellStart"/>
      <w:r w:rsidRPr="00BF2288">
        <w:rPr>
          <w:sz w:val="22"/>
          <w:szCs w:val="22"/>
        </w:rPr>
        <w:t>post-hoc</w:t>
      </w:r>
      <w:proofErr w:type="spellEnd"/>
      <w:r w:rsidRPr="00BF2288">
        <w:rPr>
          <w:sz w:val="22"/>
          <w:szCs w:val="22"/>
        </w:rPr>
        <w:t xml:space="preserve"> (≥ 50 % relativo); </w:t>
      </w:r>
      <w:r w:rsidRPr="00BF2288">
        <w:rPr>
          <w:b/>
          <w:bCs/>
          <w:sz w:val="22"/>
          <w:szCs w:val="22"/>
        </w:rPr>
        <w:t>H2</w:t>
      </w:r>
      <w:r w:rsidRPr="00BF2288">
        <w:rPr>
          <w:sz w:val="22"/>
          <w:szCs w:val="22"/>
        </w:rPr>
        <w:t xml:space="preserve"> A reduce la tasa de errores no detectados (TEND); </w:t>
      </w:r>
      <w:r w:rsidRPr="00BF2288">
        <w:rPr>
          <w:b/>
          <w:bCs/>
          <w:sz w:val="22"/>
          <w:szCs w:val="22"/>
        </w:rPr>
        <w:t>H3</w:t>
      </w:r>
      <w:r w:rsidRPr="00BF2288">
        <w:rPr>
          <w:sz w:val="22"/>
          <w:szCs w:val="22"/>
        </w:rPr>
        <w:t xml:space="preserve"> la resolución autónoma correcta (TRAC) de A no es inferior a la de B1 (δ = 5 </w:t>
      </w:r>
      <w:proofErr w:type="spellStart"/>
      <w:r w:rsidRPr="00BF2288">
        <w:rPr>
          <w:sz w:val="22"/>
          <w:szCs w:val="22"/>
        </w:rPr>
        <w:t>pp</w:t>
      </w:r>
      <w:proofErr w:type="spellEnd"/>
      <w:r w:rsidRPr="00BF2288">
        <w:rPr>
          <w:sz w:val="22"/>
          <w:szCs w:val="22"/>
        </w:rPr>
        <w:t xml:space="preserve">); </w:t>
      </w:r>
      <w:r w:rsidRPr="00BF2288">
        <w:rPr>
          <w:b/>
          <w:bCs/>
          <w:sz w:val="22"/>
          <w:szCs w:val="22"/>
        </w:rPr>
        <w:t>H4</w:t>
      </w:r>
      <w:r w:rsidRPr="00BF2288">
        <w:rPr>
          <w:sz w:val="22"/>
          <w:szCs w:val="22"/>
        </w:rPr>
        <w:t xml:space="preserve"> A supera a B4, con reglas manuales. </w:t>
      </w:r>
      <w:r w:rsidRPr="00BF2288">
        <w:rPr>
          <w:b/>
          <w:bCs/>
          <w:sz w:val="22"/>
          <w:szCs w:val="22"/>
        </w:rPr>
        <w:t>Objetivos SMART</w:t>
      </w:r>
      <w:r w:rsidRPr="00BF2288">
        <w:rPr>
          <w:sz w:val="22"/>
          <w:szCs w:val="22"/>
        </w:rPr>
        <w:t xml:space="preserve"> (responsable: el doctorando): OE1 catálogo de restricciones validado por ≥ 3 expertos (κ ≥ 0,70), M9; OE2 método de bloqueo en tiempo de ejecución, M12; OE3 experimento A vs. B1–B4 con ablaciones, M20; OE4 evaluación en modo sombra (≥ 300 casos), M23; OE5 principios de diseño y difusión, M27.</w:t>
      </w:r>
    </w:p>
    <w:p w14:paraId="04B8E5FB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>6. Metodología. Coherencia:</w:t>
      </w:r>
      <w:r w:rsidRPr="00BF2288">
        <w:rPr>
          <w:sz w:val="22"/>
          <w:szCs w:val="22"/>
        </w:rPr>
        <w:t xml:space="preserve"> la ontología (proceso objetivo, norma construida socialmente) y la epistemología (conocer haciendo) de </w:t>
      </w:r>
      <w:proofErr w:type="spellStart"/>
      <w:r w:rsidRPr="00BF2288">
        <w:rPr>
          <w:sz w:val="22"/>
          <w:szCs w:val="22"/>
        </w:rPr>
        <w:t>Design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Science</w:t>
      </w:r>
      <w:proofErr w:type="spellEnd"/>
      <w:r w:rsidRPr="00BF2288">
        <w:rPr>
          <w:sz w:val="22"/>
          <w:szCs w:val="22"/>
        </w:rPr>
        <w:t xml:space="preserve"> se traducen en el método </w:t>
      </w:r>
      <w:r w:rsidRPr="00BF2288">
        <w:rPr>
          <w:b/>
          <w:bCs/>
          <w:sz w:val="22"/>
          <w:szCs w:val="22"/>
        </w:rPr>
        <w:t>M1: DSRM con evaluación offline y en modo sombra</w:t>
      </w:r>
      <w:r w:rsidRPr="00BF2288">
        <w:rPr>
          <w:sz w:val="22"/>
          <w:szCs w:val="22"/>
        </w:rPr>
        <w:t xml:space="preserve">, que obtuvo 4,65/5 en la matriz E.D.F.C.V. (frente a 3,65 y 3,35). </w:t>
      </w:r>
      <w:r w:rsidRPr="00BF2288">
        <w:rPr>
          <w:b/>
          <w:bCs/>
          <w:sz w:val="22"/>
          <w:szCs w:val="22"/>
        </w:rPr>
        <w:t>Ciclos:</w:t>
      </w:r>
      <w:r w:rsidRPr="00BF2288">
        <w:rPr>
          <w:sz w:val="22"/>
          <w:szCs w:val="22"/>
        </w:rPr>
        <w:t xml:space="preserve"> (1) </w:t>
      </w:r>
      <w:proofErr w:type="spellStart"/>
      <w:r w:rsidRPr="00BF2288">
        <w:rPr>
          <w:sz w:val="22"/>
          <w:szCs w:val="22"/>
        </w:rPr>
        <w:t>benchmark</w:t>
      </w:r>
      <w:proofErr w:type="spellEnd"/>
      <w:r w:rsidRPr="00BF2288">
        <w:rPr>
          <w:sz w:val="22"/>
          <w:szCs w:val="22"/>
        </w:rPr>
        <w:t xml:space="preserve"> sintético y logs BPI; (2) logs de siniestros </w:t>
      </w:r>
      <w:proofErr w:type="spellStart"/>
      <w:r w:rsidRPr="00BF2288">
        <w:rPr>
          <w:sz w:val="22"/>
          <w:szCs w:val="22"/>
        </w:rPr>
        <w:t>seudonimizados</w:t>
      </w:r>
      <w:proofErr w:type="spellEnd"/>
      <w:r w:rsidRPr="00BF2288">
        <w:rPr>
          <w:sz w:val="22"/>
          <w:szCs w:val="22"/>
        </w:rPr>
        <w:t xml:space="preserve"> en entorno controlado; (3) modo sombra. </w:t>
      </w:r>
      <w:r w:rsidRPr="00BF2288">
        <w:rPr>
          <w:b/>
          <w:bCs/>
          <w:sz w:val="22"/>
          <w:szCs w:val="22"/>
        </w:rPr>
        <w:t>Variables:</w:t>
      </w:r>
      <w:r w:rsidRPr="00BF2288">
        <w:rPr>
          <w:sz w:val="22"/>
          <w:szCs w:val="22"/>
        </w:rPr>
        <w:t xml:space="preserve"> independiente, la arquitectura (A, B1–B4 y ablaciones); dependientes, TVRD, TEND y TRAC; controladas, el LLM, los </w:t>
      </w:r>
      <w:proofErr w:type="spellStart"/>
      <w:r w:rsidRPr="00BF2288">
        <w:rPr>
          <w:sz w:val="22"/>
          <w:szCs w:val="22"/>
        </w:rPr>
        <w:t>prompts</w:t>
      </w:r>
      <w:proofErr w:type="spellEnd"/>
      <w:r w:rsidRPr="00BF2288">
        <w:rPr>
          <w:sz w:val="22"/>
          <w:szCs w:val="22"/>
        </w:rPr>
        <w:t xml:space="preserve"> y las semillas. </w:t>
      </w:r>
      <w:r w:rsidRPr="00BF2288">
        <w:rPr>
          <w:b/>
          <w:bCs/>
          <w:sz w:val="22"/>
          <w:szCs w:val="22"/>
        </w:rPr>
        <w:t>Recolección:</w:t>
      </w:r>
      <w:r w:rsidRPr="00BF2288">
        <w:rPr>
          <w:sz w:val="22"/>
          <w:szCs w:val="22"/>
        </w:rPr>
        <w:t xml:space="preserve"> logs XES/OCEL, anotación experta independiente y trazas de ejecución. </w:t>
      </w:r>
      <w:r w:rsidRPr="00BF2288">
        <w:rPr>
          <w:b/>
          <w:bCs/>
          <w:sz w:val="22"/>
          <w:szCs w:val="22"/>
        </w:rPr>
        <w:t>Análisis:</w:t>
      </w:r>
      <w:r w:rsidRPr="00BF2288">
        <w:rPr>
          <w:sz w:val="22"/>
          <w:szCs w:val="22"/>
        </w:rPr>
        <w:t xml:space="preserve"> partición temporal por caso; pruebas de McNemar y Wilcoxon, IC </w:t>
      </w:r>
      <w:proofErr w:type="spellStart"/>
      <w:r w:rsidRPr="00BF2288">
        <w:rPr>
          <w:sz w:val="22"/>
          <w:szCs w:val="22"/>
        </w:rPr>
        <w:t>bootstrap</w:t>
      </w:r>
      <w:proofErr w:type="spellEnd"/>
      <w:r w:rsidRPr="00BF2288">
        <w:rPr>
          <w:sz w:val="22"/>
          <w:szCs w:val="22"/>
        </w:rPr>
        <w:t xml:space="preserve"> al 95 %, corrección de Holm, prueba de no inferioridad y ablaciones; </w:t>
      </w:r>
      <w:proofErr w:type="spellStart"/>
      <w:r w:rsidRPr="00BF2288">
        <w:rPr>
          <w:sz w:val="22"/>
          <w:szCs w:val="22"/>
        </w:rPr>
        <w:t>preregistro</w:t>
      </w:r>
      <w:proofErr w:type="spellEnd"/>
      <w:r w:rsidRPr="00BF2288">
        <w:rPr>
          <w:sz w:val="22"/>
          <w:szCs w:val="22"/>
        </w:rPr>
        <w:t xml:space="preserve"> en OSF.</w:t>
      </w:r>
    </w:p>
    <w:p w14:paraId="445B7944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 xml:space="preserve">7. Consideraciones éticas. </w:t>
      </w:r>
      <w:r w:rsidRPr="00BF2288">
        <w:rPr>
          <w:sz w:val="22"/>
          <w:szCs w:val="22"/>
        </w:rPr>
        <w:t xml:space="preserve">Aprobación del CEI de la UNMSM antes de acceder a cualquier dato de la aseguradora. El modo sombra no tiene efecto sobre los asegurados. </w:t>
      </w:r>
      <w:proofErr w:type="spellStart"/>
      <w:r w:rsidRPr="00BF2288">
        <w:rPr>
          <w:sz w:val="22"/>
          <w:szCs w:val="22"/>
        </w:rPr>
        <w:t>Seudonimización</w:t>
      </w:r>
      <w:proofErr w:type="spellEnd"/>
      <w:r w:rsidRPr="00BF2288">
        <w:rPr>
          <w:sz w:val="22"/>
          <w:szCs w:val="22"/>
        </w:rPr>
        <w:t xml:space="preserve"> y minimización (Ley 29733; DS 016-2024-JUS). Cumplimiento del Código Nacional de Integridad Científica y de la Ley 32098. Obligaciones de riesgo alto del DS 115-2025-PCM (transparencia, supervisión humana y registro) adoptadas como requisitos de diseño. Declaración de conflicto de interés.</w:t>
      </w:r>
    </w:p>
    <w:p w14:paraId="0448108E" w14:textId="7777777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 xml:space="preserve">8. Resultados esperados. </w:t>
      </w:r>
      <w:r w:rsidRPr="00BF2288">
        <w:rPr>
          <w:sz w:val="22"/>
          <w:szCs w:val="22"/>
        </w:rPr>
        <w:t>Catálogo validado de restricciones en Declare/</w:t>
      </w:r>
      <w:proofErr w:type="spellStart"/>
      <w:r w:rsidRPr="00BF2288">
        <w:rPr>
          <w:sz w:val="22"/>
          <w:szCs w:val="22"/>
        </w:rPr>
        <w:t>LTLf</w:t>
      </w:r>
      <w:proofErr w:type="spellEnd"/>
      <w:r w:rsidRPr="00BF2288">
        <w:rPr>
          <w:sz w:val="22"/>
          <w:szCs w:val="22"/>
        </w:rPr>
        <w:t xml:space="preserve">; método e instanciación abierta; </w:t>
      </w:r>
      <w:proofErr w:type="spellStart"/>
      <w:r w:rsidRPr="00BF2288">
        <w:rPr>
          <w:sz w:val="22"/>
          <w:szCs w:val="22"/>
        </w:rPr>
        <w:t>benchmark</w:t>
      </w:r>
      <w:proofErr w:type="spellEnd"/>
      <w:r w:rsidRPr="00BF2288">
        <w:rPr>
          <w:sz w:val="22"/>
          <w:szCs w:val="22"/>
        </w:rPr>
        <w:t xml:space="preserve"> sintético público con violaciones etiquetadas; evidencia comparativa con IC al 95 %, reportada sea positiva o negativa; principios de diseño respaldados por ablaciones; ≥ 2 manuscritos (ICSE, BPM o CAiSE) e informe técnico para la aseguradora.</w:t>
      </w:r>
    </w:p>
    <w:p w14:paraId="5BAFCBCF" w14:textId="69D12F63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t xml:space="preserve">9. Cronograma y presupuesto. </w:t>
      </w:r>
      <w:r w:rsidRPr="00BF2288">
        <w:rPr>
          <w:sz w:val="22"/>
          <w:szCs w:val="22"/>
        </w:rPr>
        <w:t>36 meses</w:t>
      </w:r>
      <w:r w:rsidR="00F61E15">
        <w:rPr>
          <w:sz w:val="22"/>
          <w:szCs w:val="22"/>
        </w:rPr>
        <w:t xml:space="preserve">. </w:t>
      </w:r>
      <w:r w:rsidRPr="00BF2288">
        <w:rPr>
          <w:sz w:val="22"/>
          <w:szCs w:val="22"/>
        </w:rPr>
        <w:t>Presupuesto referencial</w:t>
      </w:r>
      <w:r w:rsidRPr="00F61E15">
        <w:rPr>
          <w:sz w:val="22"/>
          <w:szCs w:val="22"/>
        </w:rPr>
        <w:t xml:space="preserve">: S/ </w:t>
      </w:r>
      <w:r w:rsidR="00F61E15">
        <w:rPr>
          <w:sz w:val="22"/>
          <w:szCs w:val="22"/>
        </w:rPr>
        <w:t>100,</w:t>
      </w:r>
      <w:r w:rsidRPr="00F61E15">
        <w:rPr>
          <w:sz w:val="22"/>
          <w:szCs w:val="22"/>
        </w:rPr>
        <w:t>000</w:t>
      </w:r>
      <w:r w:rsidRPr="00BF2288">
        <w:rPr>
          <w:sz w:val="22"/>
          <w:szCs w:val="22"/>
        </w:rPr>
        <w:t xml:space="preserve"> </w:t>
      </w:r>
    </w:p>
    <w:p w14:paraId="3B75EF58" w14:textId="2E934AE7" w:rsidR="001F66D7" w:rsidRPr="00BF2288" w:rsidRDefault="00000000" w:rsidP="00BF2288">
      <w:pPr>
        <w:spacing w:after="50" w:line="276" w:lineRule="auto"/>
        <w:jc w:val="both"/>
        <w:rPr>
          <w:sz w:val="22"/>
          <w:szCs w:val="22"/>
        </w:rPr>
      </w:pPr>
      <w:r w:rsidRPr="00BF2288">
        <w:rPr>
          <w:b/>
          <w:bCs/>
          <w:sz w:val="22"/>
          <w:szCs w:val="22"/>
        </w:rPr>
        <w:lastRenderedPageBreak/>
        <w:t>10. Bibliografía</w:t>
      </w:r>
      <w:r w:rsidRPr="00BF2288">
        <w:rPr>
          <w:b/>
          <w:bCs/>
          <w:color w:val="1E2761"/>
          <w:sz w:val="22"/>
          <w:szCs w:val="22"/>
        </w:rPr>
        <w:t xml:space="preserve">. </w:t>
      </w:r>
      <w:r w:rsidRPr="00BF2288">
        <w:rPr>
          <w:i/>
          <w:iCs/>
          <w:sz w:val="22"/>
          <w:szCs w:val="22"/>
        </w:rPr>
        <w:t xml:space="preserve">Referencias ancla; la lista completa figura en el protocolo extendido. </w:t>
      </w:r>
      <w:proofErr w:type="spellStart"/>
      <w:r w:rsidRPr="00BF2288">
        <w:rPr>
          <w:sz w:val="22"/>
          <w:szCs w:val="22"/>
        </w:rPr>
        <w:t>Gregor</w:t>
      </w:r>
      <w:proofErr w:type="spellEnd"/>
      <w:r w:rsidRPr="00BF2288">
        <w:rPr>
          <w:sz w:val="22"/>
          <w:szCs w:val="22"/>
        </w:rPr>
        <w:t xml:space="preserve">, S., &amp; Hevner, A. R. (2013). </w:t>
      </w:r>
      <w:proofErr w:type="spellStart"/>
      <w:r w:rsidRPr="00BF2288">
        <w:rPr>
          <w:sz w:val="22"/>
          <w:szCs w:val="22"/>
        </w:rPr>
        <w:t>Positioning</w:t>
      </w:r>
      <w:proofErr w:type="spellEnd"/>
      <w:r w:rsidRPr="00BF2288">
        <w:rPr>
          <w:sz w:val="22"/>
          <w:szCs w:val="22"/>
        </w:rPr>
        <w:t xml:space="preserve"> and </w:t>
      </w:r>
      <w:proofErr w:type="spellStart"/>
      <w:r w:rsidRPr="00BF2288">
        <w:rPr>
          <w:sz w:val="22"/>
          <w:szCs w:val="22"/>
        </w:rPr>
        <w:t>presenting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design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science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research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for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maximum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impact</w:t>
      </w:r>
      <w:proofErr w:type="spellEnd"/>
      <w:r w:rsidRPr="00BF2288">
        <w:rPr>
          <w:sz w:val="22"/>
          <w:szCs w:val="22"/>
        </w:rPr>
        <w:t xml:space="preserve">. </w:t>
      </w:r>
      <w:r w:rsidRPr="00BF2288">
        <w:rPr>
          <w:i/>
          <w:iCs/>
          <w:sz w:val="22"/>
          <w:szCs w:val="22"/>
        </w:rPr>
        <w:t xml:space="preserve">MIS </w:t>
      </w:r>
      <w:proofErr w:type="spellStart"/>
      <w:r w:rsidRPr="00BF2288">
        <w:rPr>
          <w:i/>
          <w:iCs/>
          <w:sz w:val="22"/>
          <w:szCs w:val="22"/>
        </w:rPr>
        <w:t>Quarterly</w:t>
      </w:r>
      <w:proofErr w:type="spellEnd"/>
      <w:r w:rsidRPr="00BF2288">
        <w:rPr>
          <w:i/>
          <w:iCs/>
          <w:sz w:val="22"/>
          <w:szCs w:val="22"/>
        </w:rPr>
        <w:t>, 37</w:t>
      </w:r>
      <w:r w:rsidRPr="00BF2288">
        <w:rPr>
          <w:sz w:val="22"/>
          <w:szCs w:val="22"/>
        </w:rPr>
        <w:t xml:space="preserve">(2), 337–355. · Hevner, A. R., March, S. T., Park, J., &amp; </w:t>
      </w:r>
      <w:proofErr w:type="spellStart"/>
      <w:r w:rsidRPr="00BF2288">
        <w:rPr>
          <w:sz w:val="22"/>
          <w:szCs w:val="22"/>
        </w:rPr>
        <w:t>Ram</w:t>
      </w:r>
      <w:proofErr w:type="spellEnd"/>
      <w:r w:rsidRPr="00BF2288">
        <w:rPr>
          <w:sz w:val="22"/>
          <w:szCs w:val="22"/>
        </w:rPr>
        <w:t xml:space="preserve">, S. (2004). </w:t>
      </w:r>
      <w:proofErr w:type="spellStart"/>
      <w:r w:rsidRPr="00BF2288">
        <w:rPr>
          <w:sz w:val="22"/>
          <w:szCs w:val="22"/>
        </w:rPr>
        <w:t>Design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science</w:t>
      </w:r>
      <w:proofErr w:type="spellEnd"/>
      <w:r w:rsidRPr="00BF2288">
        <w:rPr>
          <w:sz w:val="22"/>
          <w:szCs w:val="22"/>
        </w:rPr>
        <w:t xml:space="preserve"> in </w:t>
      </w:r>
      <w:proofErr w:type="spellStart"/>
      <w:r w:rsidRPr="00BF2288">
        <w:rPr>
          <w:sz w:val="22"/>
          <w:szCs w:val="22"/>
        </w:rPr>
        <w:t>information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systems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research</w:t>
      </w:r>
      <w:proofErr w:type="spellEnd"/>
      <w:r w:rsidRPr="00BF2288">
        <w:rPr>
          <w:sz w:val="22"/>
          <w:szCs w:val="22"/>
        </w:rPr>
        <w:t xml:space="preserve">. </w:t>
      </w:r>
      <w:r w:rsidRPr="00BF2288">
        <w:rPr>
          <w:i/>
          <w:iCs/>
          <w:sz w:val="22"/>
          <w:szCs w:val="22"/>
        </w:rPr>
        <w:t xml:space="preserve">MIS </w:t>
      </w:r>
      <w:proofErr w:type="spellStart"/>
      <w:r w:rsidRPr="00BF2288">
        <w:rPr>
          <w:i/>
          <w:iCs/>
          <w:sz w:val="22"/>
          <w:szCs w:val="22"/>
        </w:rPr>
        <w:t>Quarterly</w:t>
      </w:r>
      <w:proofErr w:type="spellEnd"/>
      <w:r w:rsidRPr="00BF2288">
        <w:rPr>
          <w:i/>
          <w:iCs/>
          <w:sz w:val="22"/>
          <w:szCs w:val="22"/>
        </w:rPr>
        <w:t>, 28</w:t>
      </w:r>
      <w:r w:rsidRPr="00BF2288">
        <w:rPr>
          <w:sz w:val="22"/>
          <w:szCs w:val="22"/>
        </w:rPr>
        <w:t xml:space="preserve">(1), 75–105. · Huang, J., Chen, X., Mishra, S., Zheng, H. S., </w:t>
      </w:r>
      <w:proofErr w:type="spellStart"/>
      <w:r w:rsidRPr="00BF2288">
        <w:rPr>
          <w:sz w:val="22"/>
          <w:szCs w:val="22"/>
        </w:rPr>
        <w:t>Yu</w:t>
      </w:r>
      <w:proofErr w:type="spellEnd"/>
      <w:r w:rsidRPr="00BF2288">
        <w:rPr>
          <w:sz w:val="22"/>
          <w:szCs w:val="22"/>
        </w:rPr>
        <w:t xml:space="preserve">, A. W., Song, X., &amp; Zhou, D. (2024). Large </w:t>
      </w:r>
      <w:proofErr w:type="spellStart"/>
      <w:r w:rsidRPr="00BF2288">
        <w:rPr>
          <w:sz w:val="22"/>
          <w:szCs w:val="22"/>
        </w:rPr>
        <w:t>language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models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cannot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self-correct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reasoning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yet</w:t>
      </w:r>
      <w:proofErr w:type="spellEnd"/>
      <w:r w:rsidRPr="00BF2288">
        <w:rPr>
          <w:sz w:val="22"/>
          <w:szCs w:val="22"/>
        </w:rPr>
        <w:t xml:space="preserve">. </w:t>
      </w:r>
      <w:proofErr w:type="spellStart"/>
      <w:r w:rsidRPr="00BF2288">
        <w:rPr>
          <w:i/>
          <w:iCs/>
          <w:sz w:val="22"/>
          <w:szCs w:val="22"/>
        </w:rPr>
        <w:t>Proceedings</w:t>
      </w:r>
      <w:proofErr w:type="spellEnd"/>
      <w:r w:rsidRPr="00BF2288">
        <w:rPr>
          <w:i/>
          <w:iCs/>
          <w:sz w:val="22"/>
          <w:szCs w:val="22"/>
        </w:rPr>
        <w:t xml:space="preserve"> </w:t>
      </w:r>
      <w:proofErr w:type="spellStart"/>
      <w:r w:rsidRPr="00BF2288">
        <w:rPr>
          <w:i/>
          <w:iCs/>
          <w:sz w:val="22"/>
          <w:szCs w:val="22"/>
        </w:rPr>
        <w:t>of</w:t>
      </w:r>
      <w:proofErr w:type="spellEnd"/>
      <w:r w:rsidRPr="00BF2288">
        <w:rPr>
          <w:i/>
          <w:iCs/>
          <w:sz w:val="22"/>
          <w:szCs w:val="22"/>
        </w:rPr>
        <w:t xml:space="preserve"> ICLR 2024</w:t>
      </w:r>
      <w:r w:rsidRPr="00BF2288">
        <w:rPr>
          <w:sz w:val="22"/>
          <w:szCs w:val="22"/>
        </w:rPr>
        <w:t xml:space="preserve">.  · Maggi, F. M., Montali, M., Westergaard, M., &amp; van </w:t>
      </w:r>
      <w:proofErr w:type="spellStart"/>
      <w:r w:rsidRPr="00BF2288">
        <w:rPr>
          <w:sz w:val="22"/>
          <w:szCs w:val="22"/>
        </w:rPr>
        <w:t>der</w:t>
      </w:r>
      <w:proofErr w:type="spellEnd"/>
      <w:r w:rsidRPr="00BF2288">
        <w:rPr>
          <w:sz w:val="22"/>
          <w:szCs w:val="22"/>
        </w:rPr>
        <w:t xml:space="preserve"> Aalst, W. M. P. (2011). </w:t>
      </w:r>
      <w:proofErr w:type="spellStart"/>
      <w:r w:rsidRPr="00BF2288">
        <w:rPr>
          <w:sz w:val="22"/>
          <w:szCs w:val="22"/>
        </w:rPr>
        <w:t>Monitoring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business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constraints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with</w:t>
      </w:r>
      <w:proofErr w:type="spellEnd"/>
      <w:r w:rsidRPr="00BF2288">
        <w:rPr>
          <w:sz w:val="22"/>
          <w:szCs w:val="22"/>
        </w:rPr>
        <w:t xml:space="preserve"> linear temporal </w:t>
      </w:r>
      <w:proofErr w:type="spellStart"/>
      <w:r w:rsidRPr="00BF2288">
        <w:rPr>
          <w:sz w:val="22"/>
          <w:szCs w:val="22"/>
        </w:rPr>
        <w:t>logic</w:t>
      </w:r>
      <w:proofErr w:type="spellEnd"/>
      <w:r w:rsidRPr="00BF2288">
        <w:rPr>
          <w:sz w:val="22"/>
          <w:szCs w:val="22"/>
        </w:rPr>
        <w:t xml:space="preserve">. </w:t>
      </w:r>
      <w:r w:rsidRPr="00BF2288">
        <w:rPr>
          <w:i/>
          <w:iCs/>
          <w:sz w:val="22"/>
          <w:szCs w:val="22"/>
        </w:rPr>
        <w:t>BPM 2011, LNCS 6896</w:t>
      </w:r>
      <w:r w:rsidRPr="00BF2288">
        <w:rPr>
          <w:sz w:val="22"/>
          <w:szCs w:val="22"/>
        </w:rPr>
        <w:t xml:space="preserve">, 132–147. · Peffers, K., </w:t>
      </w:r>
      <w:proofErr w:type="spellStart"/>
      <w:r w:rsidRPr="00BF2288">
        <w:rPr>
          <w:sz w:val="22"/>
          <w:szCs w:val="22"/>
        </w:rPr>
        <w:t>Tuunanen</w:t>
      </w:r>
      <w:proofErr w:type="spellEnd"/>
      <w:r w:rsidRPr="00BF2288">
        <w:rPr>
          <w:sz w:val="22"/>
          <w:szCs w:val="22"/>
        </w:rPr>
        <w:t xml:space="preserve">, T., Rothenberger, M. A., &amp; Chatterjee, S. (2007). A </w:t>
      </w:r>
      <w:proofErr w:type="spellStart"/>
      <w:r w:rsidRPr="00BF2288">
        <w:rPr>
          <w:sz w:val="22"/>
          <w:szCs w:val="22"/>
        </w:rPr>
        <w:t>design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science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research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methodology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for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information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systems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research</w:t>
      </w:r>
      <w:proofErr w:type="spellEnd"/>
      <w:r w:rsidRPr="00BF2288">
        <w:rPr>
          <w:sz w:val="22"/>
          <w:szCs w:val="22"/>
        </w:rPr>
        <w:t xml:space="preserve">. </w:t>
      </w:r>
      <w:proofErr w:type="spellStart"/>
      <w:r w:rsidRPr="00BF2288">
        <w:rPr>
          <w:i/>
          <w:iCs/>
          <w:sz w:val="22"/>
          <w:szCs w:val="22"/>
        </w:rPr>
        <w:t>Journal</w:t>
      </w:r>
      <w:proofErr w:type="spellEnd"/>
      <w:r w:rsidRPr="00BF2288">
        <w:rPr>
          <w:i/>
          <w:iCs/>
          <w:sz w:val="22"/>
          <w:szCs w:val="22"/>
        </w:rPr>
        <w:t xml:space="preserve"> </w:t>
      </w:r>
      <w:proofErr w:type="spellStart"/>
      <w:r w:rsidRPr="00BF2288">
        <w:rPr>
          <w:i/>
          <w:iCs/>
          <w:sz w:val="22"/>
          <w:szCs w:val="22"/>
        </w:rPr>
        <w:t>of</w:t>
      </w:r>
      <w:proofErr w:type="spellEnd"/>
      <w:r w:rsidRPr="00BF2288">
        <w:rPr>
          <w:i/>
          <w:iCs/>
          <w:sz w:val="22"/>
          <w:szCs w:val="22"/>
        </w:rPr>
        <w:t xml:space="preserve"> Management </w:t>
      </w:r>
      <w:proofErr w:type="spellStart"/>
      <w:r w:rsidRPr="00BF2288">
        <w:rPr>
          <w:i/>
          <w:iCs/>
          <w:sz w:val="22"/>
          <w:szCs w:val="22"/>
        </w:rPr>
        <w:t>Information</w:t>
      </w:r>
      <w:proofErr w:type="spellEnd"/>
      <w:r w:rsidRPr="00BF2288">
        <w:rPr>
          <w:i/>
          <w:iCs/>
          <w:sz w:val="22"/>
          <w:szCs w:val="22"/>
        </w:rPr>
        <w:t xml:space="preserve"> </w:t>
      </w:r>
      <w:proofErr w:type="spellStart"/>
      <w:r w:rsidRPr="00BF2288">
        <w:rPr>
          <w:i/>
          <w:iCs/>
          <w:sz w:val="22"/>
          <w:szCs w:val="22"/>
        </w:rPr>
        <w:t>Systems</w:t>
      </w:r>
      <w:proofErr w:type="spellEnd"/>
      <w:r w:rsidRPr="00BF2288">
        <w:rPr>
          <w:i/>
          <w:iCs/>
          <w:sz w:val="22"/>
          <w:szCs w:val="22"/>
        </w:rPr>
        <w:t>, 24</w:t>
      </w:r>
      <w:r w:rsidRPr="00BF2288">
        <w:rPr>
          <w:sz w:val="22"/>
          <w:szCs w:val="22"/>
        </w:rPr>
        <w:t xml:space="preserve">(3), 45–77. · Wang, H., Poskitt, C. M., &amp; </w:t>
      </w:r>
      <w:proofErr w:type="spellStart"/>
      <w:r w:rsidRPr="00BF2288">
        <w:rPr>
          <w:sz w:val="22"/>
          <w:szCs w:val="22"/>
        </w:rPr>
        <w:t>Sun</w:t>
      </w:r>
      <w:proofErr w:type="spellEnd"/>
      <w:r w:rsidRPr="00BF2288">
        <w:rPr>
          <w:sz w:val="22"/>
          <w:szCs w:val="22"/>
        </w:rPr>
        <w:t xml:space="preserve">, J. (2026). </w:t>
      </w:r>
      <w:proofErr w:type="spellStart"/>
      <w:r w:rsidRPr="00BF2288">
        <w:rPr>
          <w:sz w:val="22"/>
          <w:szCs w:val="22"/>
        </w:rPr>
        <w:t>AgentSpec</w:t>
      </w:r>
      <w:proofErr w:type="spellEnd"/>
      <w:r w:rsidRPr="00BF2288">
        <w:rPr>
          <w:sz w:val="22"/>
          <w:szCs w:val="22"/>
        </w:rPr>
        <w:t xml:space="preserve">: </w:t>
      </w:r>
      <w:proofErr w:type="spellStart"/>
      <w:r w:rsidRPr="00BF2288">
        <w:rPr>
          <w:sz w:val="22"/>
          <w:szCs w:val="22"/>
        </w:rPr>
        <w:t>Customizable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runtime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enforcement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for</w:t>
      </w:r>
      <w:proofErr w:type="spellEnd"/>
      <w:r w:rsidRPr="00BF2288">
        <w:rPr>
          <w:sz w:val="22"/>
          <w:szCs w:val="22"/>
        </w:rPr>
        <w:t xml:space="preserve"> </w:t>
      </w:r>
      <w:proofErr w:type="spellStart"/>
      <w:r w:rsidRPr="00BF2288">
        <w:rPr>
          <w:sz w:val="22"/>
          <w:szCs w:val="22"/>
        </w:rPr>
        <w:t>safe</w:t>
      </w:r>
      <w:proofErr w:type="spellEnd"/>
      <w:r w:rsidRPr="00BF2288">
        <w:rPr>
          <w:sz w:val="22"/>
          <w:szCs w:val="22"/>
        </w:rPr>
        <w:t xml:space="preserve"> and </w:t>
      </w:r>
      <w:proofErr w:type="spellStart"/>
      <w:r w:rsidRPr="00BF2288">
        <w:rPr>
          <w:sz w:val="22"/>
          <w:szCs w:val="22"/>
        </w:rPr>
        <w:t>reliable</w:t>
      </w:r>
      <w:proofErr w:type="spellEnd"/>
      <w:r w:rsidRPr="00BF2288">
        <w:rPr>
          <w:sz w:val="22"/>
          <w:szCs w:val="22"/>
        </w:rPr>
        <w:t xml:space="preserve"> LLM </w:t>
      </w:r>
      <w:proofErr w:type="spellStart"/>
      <w:r w:rsidRPr="00BF2288">
        <w:rPr>
          <w:sz w:val="22"/>
          <w:szCs w:val="22"/>
        </w:rPr>
        <w:t>agents</w:t>
      </w:r>
      <w:proofErr w:type="spellEnd"/>
      <w:r w:rsidRPr="00BF2288">
        <w:rPr>
          <w:sz w:val="22"/>
          <w:szCs w:val="22"/>
        </w:rPr>
        <w:t xml:space="preserve">. </w:t>
      </w:r>
      <w:proofErr w:type="spellStart"/>
      <w:r w:rsidRPr="00BF2288">
        <w:rPr>
          <w:i/>
          <w:iCs/>
          <w:sz w:val="22"/>
          <w:szCs w:val="22"/>
        </w:rPr>
        <w:t>Proceedings</w:t>
      </w:r>
      <w:proofErr w:type="spellEnd"/>
      <w:r w:rsidRPr="00BF2288">
        <w:rPr>
          <w:i/>
          <w:iCs/>
          <w:sz w:val="22"/>
          <w:szCs w:val="22"/>
        </w:rPr>
        <w:t xml:space="preserve"> </w:t>
      </w:r>
      <w:proofErr w:type="spellStart"/>
      <w:r w:rsidRPr="00BF2288">
        <w:rPr>
          <w:i/>
          <w:iCs/>
          <w:sz w:val="22"/>
          <w:szCs w:val="22"/>
        </w:rPr>
        <w:t>of</w:t>
      </w:r>
      <w:proofErr w:type="spellEnd"/>
      <w:r w:rsidRPr="00BF2288">
        <w:rPr>
          <w:i/>
          <w:iCs/>
          <w:sz w:val="22"/>
          <w:szCs w:val="22"/>
        </w:rPr>
        <w:t xml:space="preserve"> ICSE 2026</w:t>
      </w:r>
      <w:r w:rsidRPr="00BF2288">
        <w:rPr>
          <w:sz w:val="22"/>
          <w:szCs w:val="22"/>
        </w:rPr>
        <w:t xml:space="preserve">. · Presidencia del Consejo de </w:t>
      </w:r>
      <w:proofErr w:type="gramStart"/>
      <w:r w:rsidRPr="00BF2288">
        <w:rPr>
          <w:sz w:val="22"/>
          <w:szCs w:val="22"/>
        </w:rPr>
        <w:t>Ministros</w:t>
      </w:r>
      <w:proofErr w:type="gramEnd"/>
      <w:r w:rsidRPr="00BF2288">
        <w:rPr>
          <w:sz w:val="22"/>
          <w:szCs w:val="22"/>
        </w:rPr>
        <w:t xml:space="preserve">. (2025). </w:t>
      </w:r>
      <w:r w:rsidRPr="00BF2288">
        <w:rPr>
          <w:i/>
          <w:iCs/>
          <w:sz w:val="22"/>
          <w:szCs w:val="22"/>
        </w:rPr>
        <w:t xml:space="preserve">Decreto Supremo </w:t>
      </w:r>
      <w:proofErr w:type="spellStart"/>
      <w:r w:rsidRPr="00BF2288">
        <w:rPr>
          <w:i/>
          <w:iCs/>
          <w:sz w:val="22"/>
          <w:szCs w:val="22"/>
        </w:rPr>
        <w:t>N.°</w:t>
      </w:r>
      <w:proofErr w:type="spellEnd"/>
      <w:r w:rsidRPr="00BF2288">
        <w:rPr>
          <w:i/>
          <w:iCs/>
          <w:sz w:val="22"/>
          <w:szCs w:val="22"/>
        </w:rPr>
        <w:t xml:space="preserve"> 115-2025-PCM, Reglamento de la Ley </w:t>
      </w:r>
      <w:proofErr w:type="spellStart"/>
      <w:r w:rsidRPr="00BF2288">
        <w:rPr>
          <w:i/>
          <w:iCs/>
          <w:sz w:val="22"/>
          <w:szCs w:val="22"/>
        </w:rPr>
        <w:t>N.°</w:t>
      </w:r>
      <w:proofErr w:type="spellEnd"/>
      <w:r w:rsidRPr="00BF2288">
        <w:rPr>
          <w:i/>
          <w:iCs/>
          <w:sz w:val="22"/>
          <w:szCs w:val="22"/>
        </w:rPr>
        <w:t xml:space="preserve"> 31814</w:t>
      </w:r>
      <w:r w:rsidRPr="00BF2288">
        <w:rPr>
          <w:sz w:val="22"/>
          <w:szCs w:val="22"/>
        </w:rPr>
        <w:t xml:space="preserve">. El </w:t>
      </w:r>
      <w:proofErr w:type="gramStart"/>
      <w:r w:rsidRPr="00BF2288">
        <w:rPr>
          <w:sz w:val="22"/>
          <w:szCs w:val="22"/>
        </w:rPr>
        <w:t>Peruano</w:t>
      </w:r>
      <w:proofErr w:type="gramEnd"/>
      <w:r w:rsidRPr="00BF2288">
        <w:rPr>
          <w:sz w:val="22"/>
          <w:szCs w:val="22"/>
        </w:rPr>
        <w:t>.</w:t>
      </w:r>
    </w:p>
    <w:sectPr w:rsidR="001F66D7" w:rsidRPr="00BF2288">
      <w:pgSz w:w="11906" w:h="16838"/>
      <w:pgMar w:top="68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47C29"/>
    <w:multiLevelType w:val="hybridMultilevel"/>
    <w:tmpl w:val="D56C441A"/>
    <w:lvl w:ilvl="0" w:tplc="0CDC965E">
      <w:start w:val="1"/>
      <w:numFmt w:val="bullet"/>
      <w:lvlText w:val="●"/>
      <w:lvlJc w:val="left"/>
      <w:pPr>
        <w:ind w:left="720" w:hanging="360"/>
      </w:pPr>
    </w:lvl>
    <w:lvl w:ilvl="1" w:tplc="31BA2C82">
      <w:start w:val="1"/>
      <w:numFmt w:val="bullet"/>
      <w:lvlText w:val="○"/>
      <w:lvlJc w:val="left"/>
      <w:pPr>
        <w:ind w:left="1440" w:hanging="360"/>
      </w:pPr>
    </w:lvl>
    <w:lvl w:ilvl="2" w:tplc="D522EF8E">
      <w:start w:val="1"/>
      <w:numFmt w:val="bullet"/>
      <w:lvlText w:val="■"/>
      <w:lvlJc w:val="left"/>
      <w:pPr>
        <w:ind w:left="2160" w:hanging="360"/>
      </w:pPr>
    </w:lvl>
    <w:lvl w:ilvl="3" w:tplc="B83AF818">
      <w:start w:val="1"/>
      <w:numFmt w:val="bullet"/>
      <w:lvlText w:val="●"/>
      <w:lvlJc w:val="left"/>
      <w:pPr>
        <w:ind w:left="2880" w:hanging="360"/>
      </w:pPr>
    </w:lvl>
    <w:lvl w:ilvl="4" w:tplc="60E6EEAC">
      <w:start w:val="1"/>
      <w:numFmt w:val="bullet"/>
      <w:lvlText w:val="○"/>
      <w:lvlJc w:val="left"/>
      <w:pPr>
        <w:ind w:left="3600" w:hanging="360"/>
      </w:pPr>
    </w:lvl>
    <w:lvl w:ilvl="5" w:tplc="F1669A18">
      <w:start w:val="1"/>
      <w:numFmt w:val="bullet"/>
      <w:lvlText w:val="■"/>
      <w:lvlJc w:val="left"/>
      <w:pPr>
        <w:ind w:left="4320" w:hanging="360"/>
      </w:pPr>
    </w:lvl>
    <w:lvl w:ilvl="6" w:tplc="1C12489E">
      <w:start w:val="1"/>
      <w:numFmt w:val="bullet"/>
      <w:lvlText w:val="●"/>
      <w:lvlJc w:val="left"/>
      <w:pPr>
        <w:ind w:left="5040" w:hanging="360"/>
      </w:pPr>
    </w:lvl>
    <w:lvl w:ilvl="7" w:tplc="23EC55B2">
      <w:start w:val="1"/>
      <w:numFmt w:val="bullet"/>
      <w:lvlText w:val="●"/>
      <w:lvlJc w:val="left"/>
      <w:pPr>
        <w:ind w:left="5760" w:hanging="360"/>
      </w:pPr>
    </w:lvl>
    <w:lvl w:ilvl="8" w:tplc="1C8A2BA6">
      <w:start w:val="1"/>
      <w:numFmt w:val="bullet"/>
      <w:lvlText w:val="●"/>
      <w:lvlJc w:val="left"/>
      <w:pPr>
        <w:ind w:left="6480" w:hanging="360"/>
      </w:pPr>
    </w:lvl>
  </w:abstractNum>
  <w:num w:numId="1" w16cid:durableId="1085881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6D7"/>
    <w:rsid w:val="001F66D7"/>
    <w:rsid w:val="005F2A34"/>
    <w:rsid w:val="0072620B"/>
    <w:rsid w:val="00937142"/>
    <w:rsid w:val="00BD21C1"/>
    <w:rsid w:val="00BF2288"/>
    <w:rsid w:val="00F61E15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B5AC9"/>
  <w15:docId w15:val="{59464332-E1EE-40A2-BB0F-A2523993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Francisco Sánchez Parra</cp:lastModifiedBy>
  <cp:revision>2</cp:revision>
  <dcterms:created xsi:type="dcterms:W3CDTF">2026-09-27T04:59:00Z</dcterms:created>
  <dcterms:modified xsi:type="dcterms:W3CDTF">2026-09-27T04:59:00Z</dcterms:modified>
</cp:coreProperties>
</file>