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400"/>
        <w:jc w:val="center"/>
      </w:pPr>
      <w:r>
        <w:rPr>
          <w:color w:val="B8860B"/>
          <w:sz w:val="22"/>
          <w:szCs w:val="22"/>
        </w:rPr>
        <w:t xml:space="preserve">Fix Batch: Geo-Aware Banking Fields, Medical Notes Permissions &amp; Season Fee Payment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This batch contains 3 independent fixes. Apply them one at a time, typecheck after each one before moving to the next.</w:t>
            </w:r>
          </w:p>
          <w:p>
            <w:pPr>
              <w:spacing w:after="120"/>
            </w:pPr>
            <w:r>
              <w:rPr>
                <w:b w:val="false"/>
                <w:bCs w:val="false"/>
                <w:color w:val="C00000"/>
              </w:rPr>
              <w:t xml:space="preserve">2. The MOST IMPORTANT rule in this entire document: every field related to payments, currency, banking, or amounts anywhere in this app must be set automatically based on the organization's country setting — never hardcoded to a specific currency or banking format. This rule applies to every file you touch now and in the future. Re-read this rule before touching any payment-related code.</w:t>
            </w:r>
          </w:p>
          <w:p>
            <w:pPr>
              <w:spacing w:after="120"/>
            </w:pPr>
            <w:r>
              <w:rPr>
                <w:b w:val="false"/>
                <w:bCs w:val="false"/>
                <w:color w:val="C00000"/>
              </w:rPr>
              <w:t xml:space="preserve">3. Do not touch the Stripe checkout flow, the fee_events payment flow, or the reimbursements Stripe logic — only the specific items listed below.</w:t>
            </w:r>
          </w:p>
          <w:p>
            <w:pPr>
              <w:spacing w:after="0"/>
            </w:pPr>
            <w:r>
              <w:rPr>
                <w:b w:val="false"/>
                <w:bCs w:val="false"/>
                <w:color w:val="C00000"/>
              </w:rPr>
              <w:t xml:space="preserve">4. Provide file and line number for each change. Typecheck must pass after every fix.</w:t>
            </w:r>
          </w:p>
        </w:tc>
      </w:tr>
    </w:tbl>
    <w:p>
      <w:pPr>
        <w:spacing w:after="300"/>
      </w:pPr>
    </w:p>
    <w:p>
      <w:pPr>
        <w:pStyle w:val="Heading1"/>
      </w:pPr>
      <w:r>
        <w:t xml:space="preserve">Fix 1 — Medical notes: Operators can only read, not write</w:t>
      </w:r>
    </w:p>
    <w:p>
      <w:pPr>
        <w:spacing w:after="100"/>
      </w:pPr>
      <w:r>
        <w:rPr>
          <w:b/>
          <w:bCs/>
          <w:color w:val="666666"/>
        </w:rPr>
        <w:t xml:space="preserve">File: </w:t>
      </w:r>
      <w:r>
        <w:rPr>
          <w:rFonts w:ascii="Consolas" w:cs="Consolas" w:eastAsia="Consolas" w:hAnsi="Consolas"/>
          <w:color w:val="1A1A1A"/>
          <w:sz w:val="20"/>
          <w:szCs w:val="20"/>
        </w:rPr>
        <w:t xml:space="preserve">artifacts/api-server/src/routes/children.ts</w:t>
      </w:r>
    </w:p>
    <w:p>
      <w:pPr>
        <w:spacing w:after="100"/>
      </w:pPr>
      <w:r>
        <w:rPr>
          <w:b/>
          <w:bCs/>
          <w:color w:val="666666"/>
        </w:rPr>
        <w:t xml:space="preserve">Priority: </w:t>
      </w:r>
      <w:r>
        <w:rPr>
          <w:rFonts w:ascii="Consolas" w:cs="Consolas" w:eastAsia="Consolas" w:hAnsi="Consolas"/>
          <w:color w:val="1A1A1A"/>
          <w:sz w:val="20"/>
          <w:szCs w:val="20"/>
        </w:rPr>
        <w:t xml:space="preserve">High — privacy/safeguarding issue</w:t>
      </w:r>
    </w:p>
    <w:p>
      <w:pPr>
        <w:spacing w:after="160"/>
      </w:pPr>
      <w:r>
        <w:t xml:space="preserve">Currently verified in code: PATCH /members/:id allows the 'operator' role to write medical_notes. An Operator (teacher, coach) has no legitimate reason to modify a child's medical notes — they should only be able to read them during a session (to know about allergies etc). Writing medical records is the responsibility of the parent or Admin only.</w:t>
      </w:r>
    </w:p>
    <w:p>
      <w:pPr>
        <w:spacing w:after="160"/>
      </w:pPr>
      <w:r>
        <w:t xml:space="preserve">Fix: in the ALLOWED fields whitelist for the operator role in PATCH /members/:id, remove medical_notes from the list of fields an Operator can write. If medical_notes is currently in a shared ALLOWED array used by both Admin and Operator, split it into two arrays: one for Admin (full access including medical_notes) and one for Operator (read-only for medical_notes — Operator can only write non-sensitive operational notes like session_notes if that field exists, but not medical_notes).</w:t>
      </w:r>
    </w:p>
    <w:p>
      <w:pPr>
        <w:spacing w:after="160"/>
      </w:pPr>
      <w:r>
        <w:t xml:space="preserve">Do NOT remove Operators' ability to READ medical_notes — they need to see allergies and health conditions during class. Only remove write access.</w:t>
      </w:r>
    </w:p>
    <w:p>
      <w:pPr>
        <w:spacing w:after="160"/>
      </w:pPr>
      <w:r>
        <w:t xml:space="preserve">Also add a separate field operator_session_notes (TEXT, nullable) to the children table if it does not already exist — this gives Operators a place to write their own session observations (e.g. 'showed improvement today', 'seemed tired') without touching the medical record. This field is writable by Operators and readable by Admin and parents.</w:t>
      </w:r>
    </w:p>
    <w:p>
      <w:pPr>
        <w:pStyle w:val="Heading1"/>
      </w:pPr>
      <w:r>
        <w:t xml:space="preserve">Fix 2 — Geo-aware banking fields throughout the entire app</w:t>
      </w:r>
    </w:p>
    <w:p>
      <w:pPr>
        <w:spacing w:after="100"/>
      </w:pPr>
      <w:r>
        <w:rPr>
          <w:b/>
          <w:bCs/>
          <w:color w:val="666666"/>
        </w:rPr>
        <w:t xml:space="preserve">Priority: </w:t>
      </w:r>
      <w:r>
        <w:rPr>
          <w:rFonts w:ascii="Consolas" w:cs="Consolas" w:eastAsia="Consolas" w:hAnsi="Consolas"/>
          <w:color w:val="1A1A1A"/>
          <w:sz w:val="20"/>
          <w:szCs w:val="20"/>
        </w:rPr>
        <w:t xml:space="preserve">Critical — wrong currency/banking format causes real financial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Why this is critical</w:t>
            </w:r>
          </w:p>
          <w:p>
            <w:pPr>
              <w:spacing w:after="0"/>
            </w:pPr>
            <w:r>
              <w:rPr>
                <w:b w:val="false"/>
                <w:bCs w:val="false"/>
                <w:color w:val="C00000"/>
              </w:rPr>
              <w:t xml:space="preserve">The app is used in at least two countries simultaneously: Italy (EUR, IBAN/BIC) and Australia (AUD, BSB/Account Number). If a user in Italy enters 30 thinking they mean €30, but the system sends AUD 30, that is approximately €18 — a real financial loss. The reverse is also true. This must never be ambiguous. Every payment field, every banking form, every currency display must be set automatically from the organization's country setting — the user should never have to think about which format to use.</w:t>
            </w:r>
          </w:p>
        </w:tc>
      </w:tr>
    </w:tbl>
    <w:p>
      <w:pPr>
        <w:spacing w:after="300"/>
      </w:pPr>
    </w:p>
    <w:p>
      <w:pPr>
        <w:pStyle w:val="Heading2"/>
      </w:pPr>
      <w:r>
        <w:t xml:space="preserve">2A — The country/currency source of truth</w:t>
      </w:r>
    </w:p>
    <w:p>
      <w:pPr>
        <w:spacing w:after="160"/>
      </w:pPr>
      <w:r>
        <w:t xml:space="preserve">The organizations table already has two columns: currency (TEXT, default 'EUR') and country (TEXT, default 'AU'). These are the source of truth. Every payment-related screen must read from these columns — never hardcode a currency or assume a banking format.</w:t>
      </w:r>
    </w:p>
    <w:p>
      <w:pPr>
        <w:spacing w:after="160"/>
      </w:pPr>
      <w:r>
        <w:t xml:space="preserve">The banking format is determined by country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AU  -&gt; BSB (6 digits, format: XXX-XXX), Account Number (6-10 digits), AUD</w:t>
            </w:r>
          </w:p>
          <w:p>
            <w:pPr>
              <w:spacing w:after="0"/>
            </w:pPr>
            <w:r>
              <w:rPr>
                <w:rFonts w:ascii="Consolas" w:cs="Consolas" w:eastAsia="Consolas" w:hAnsi="Consolas"/>
                <w:color w:val="1A1A1A"/>
                <w:sz w:val="19"/>
                <w:szCs w:val="19"/>
              </w:rPr>
              <w:t xml:space="preserve">IT  -&gt; IBAN (up to 27 chars, IT format), BIC/SWIFT (8-11 chars), EUR</w:t>
            </w:r>
          </w:p>
          <w:p>
            <w:pPr>
              <w:spacing w:after="0"/>
            </w:pPr>
            <w:r>
              <w:rPr>
                <w:rFonts w:ascii="Consolas" w:cs="Consolas" w:eastAsia="Consolas" w:hAnsi="Consolas"/>
                <w:color w:val="1A1A1A"/>
                <w:sz w:val="19"/>
                <w:szCs w:val="19"/>
              </w:rPr>
              <w:t xml:space="preserve">EU  -&gt; IBAN, BIC/SWIFT, EUR  (same as IT for non-IT eurozone countries)</w:t>
            </w:r>
          </w:p>
          <w:p>
            <w:pPr>
              <w:spacing w:after="0"/>
            </w:pPr>
            <w:r>
              <w:rPr>
                <w:rFonts w:ascii="Consolas" w:cs="Consolas" w:eastAsia="Consolas" w:hAnsi="Consolas"/>
                <w:color w:val="1A1A1A"/>
                <w:sz w:val="19"/>
                <w:szCs w:val="19"/>
              </w:rPr>
              <w:t xml:space="preserve">GB  -&gt; Sort Code (6 digits, format: XX-XX-XX), Account Number (8 digits), GBP</w:t>
            </w:r>
          </w:p>
          <w:p>
            <w:pPr>
              <w:spacing w:after="0"/>
            </w:pPr>
            <w:r>
              <w:rPr>
                <w:rFonts w:ascii="Consolas" w:cs="Consolas" w:eastAsia="Consolas" w:hAnsi="Consolas"/>
                <w:color w:val="1A1A1A"/>
                <w:sz w:val="19"/>
                <w:szCs w:val="19"/>
              </w:rPr>
              <w:t xml:space="preserve">US  -&gt; ABA Routing Number (9 digits), Account Number (varies), USD</w:t>
            </w:r>
          </w:p>
          <w:p>
            <w:pPr>
              <w:spacing w:after="0"/>
            </w:pPr>
            <w:r>
              <w:rPr>
                <w:rFonts w:ascii="Consolas" w:cs="Consolas" w:eastAsia="Consolas" w:hAnsi="Consolas"/>
                <w:color w:val="1A1A1A"/>
                <w:sz w:val="19"/>
                <w:szCs w:val="19"/>
              </w:rPr>
              <w:t xml:space="preserve">default -&gt; IBAN, BIC/SWIFT, use org currency field</w:t>
            </w:r>
          </w:p>
        </w:tc>
      </w:tr>
    </w:tbl>
    <w:p>
      <w:pPr>
        <w:spacing w:after="160"/>
      </w:pPr>
      <w:r>
        <w:t xml:space="preserve">Build a single shared utility function — call it getBankingFormat(country: string) — that returns the field configuration for that country. Use this function everywhere banking fields are rendered or validated. Do not duplicate this logic per-screen.</w:t>
      </w:r>
    </w:p>
    <w:p>
      <w:pPr>
        <w:pStyle w:val="Heading2"/>
      </w:pPr>
      <w:r>
        <w:t xml:space="preserve">2B — DB schema: extend banking fields to support all formats</w:t>
      </w:r>
    </w:p>
    <w:p>
      <w:pPr>
        <w:spacing w:after="160"/>
      </w:pPr>
      <w:r>
        <w:t xml:space="preserve">Current schema has only bank_iban and bank_bic/bank_swift in operator_profiles, and payout_iban/payout_bic in parent_profiles (added recently). Extend both tables to also store the fields needed for non-IBAN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ALTER TABLE operator_profiles</w:t>
            </w:r>
          </w:p>
          <w:p>
            <w:pPr>
              <w:spacing w:after="0"/>
            </w:pPr>
            <w:r>
              <w:rPr>
                <w:rFonts w:ascii="Consolas" w:cs="Consolas" w:eastAsia="Consolas" w:hAnsi="Consolas"/>
                <w:color w:val="1A1A1A"/>
                <w:sz w:val="19"/>
                <w:szCs w:val="19"/>
              </w:rPr>
              <w:t xml:space="preserve">  ADD COLUMN IF NOT EXISTS bank_account_number TEXT,</w:t>
            </w:r>
          </w:p>
          <w:p>
            <w:pPr>
              <w:spacing w:after="0"/>
            </w:pPr>
            <w:r>
              <w:rPr>
                <w:rFonts w:ascii="Consolas" w:cs="Consolas" w:eastAsia="Consolas" w:hAnsi="Consolas"/>
                <w:color w:val="1A1A1A"/>
                <w:sz w:val="19"/>
                <w:szCs w:val="19"/>
              </w:rPr>
              <w:t xml:space="preserve">  ADD COLUMN IF NOT EXISTS bank_bsb            TEXT,</w:t>
            </w:r>
          </w:p>
          <w:p>
            <w:pPr>
              <w:spacing w:after="0"/>
            </w:pPr>
            <w:r>
              <w:rPr>
                <w:rFonts w:ascii="Consolas" w:cs="Consolas" w:eastAsia="Consolas" w:hAnsi="Consolas"/>
                <w:color w:val="1A1A1A"/>
                <w:sz w:val="19"/>
                <w:szCs w:val="19"/>
              </w:rPr>
              <w:t xml:space="preserve">  ADD COLUMN IF NOT EXISTS bank_sort_code      TEXT,</w:t>
            </w:r>
          </w:p>
          <w:p>
            <w:pPr>
              <w:spacing w:after="0"/>
            </w:pPr>
            <w:r>
              <w:rPr>
                <w:rFonts w:ascii="Consolas" w:cs="Consolas" w:eastAsia="Consolas" w:hAnsi="Consolas"/>
                <w:color w:val="1A1A1A"/>
                <w:sz w:val="19"/>
                <w:szCs w:val="19"/>
              </w:rPr>
              <w:t xml:space="preserve">  ADD COLUMN IF NOT EXISTS bank_routing_number TEXT;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ALTER TABLE parent_profiles</w:t>
            </w:r>
          </w:p>
          <w:p>
            <w:pPr>
              <w:spacing w:after="0"/>
            </w:pPr>
            <w:r>
              <w:rPr>
                <w:rFonts w:ascii="Consolas" w:cs="Consolas" w:eastAsia="Consolas" w:hAnsi="Consolas"/>
                <w:color w:val="1A1A1A"/>
                <w:sz w:val="19"/>
                <w:szCs w:val="19"/>
              </w:rPr>
              <w:t xml:space="preserve">  ADD COLUMN IF NOT EXISTS payout_account_number TEXT,</w:t>
            </w:r>
          </w:p>
          <w:p>
            <w:pPr>
              <w:spacing w:after="0"/>
            </w:pPr>
            <w:r>
              <w:rPr>
                <w:rFonts w:ascii="Consolas" w:cs="Consolas" w:eastAsia="Consolas" w:hAnsi="Consolas"/>
                <w:color w:val="1A1A1A"/>
                <w:sz w:val="19"/>
                <w:szCs w:val="19"/>
              </w:rPr>
              <w:t xml:space="preserve">  ADD COLUMN IF NOT EXISTS payout_bsb            TEXT,</w:t>
            </w:r>
          </w:p>
          <w:p>
            <w:pPr>
              <w:spacing w:after="0"/>
            </w:pPr>
            <w:r>
              <w:rPr>
                <w:rFonts w:ascii="Consolas" w:cs="Consolas" w:eastAsia="Consolas" w:hAnsi="Consolas"/>
                <w:color w:val="1A1A1A"/>
                <w:sz w:val="19"/>
                <w:szCs w:val="19"/>
              </w:rPr>
              <w:t xml:space="preserve">  ADD COLUMN IF NOT EXISTS payout_sort_code      TEXT,</w:t>
            </w:r>
          </w:p>
          <w:p>
            <w:pPr>
              <w:spacing w:after="0"/>
            </w:pPr>
            <w:r>
              <w:rPr>
                <w:rFonts w:ascii="Consolas" w:cs="Consolas" w:eastAsia="Consolas" w:hAnsi="Consolas"/>
                <w:color w:val="1A1A1A"/>
                <w:sz w:val="19"/>
                <w:szCs w:val="19"/>
              </w:rPr>
              <w:t xml:space="preserve">  ADD COLUMN IF NOT EXISTS payout_routing_number TEXT;</w:t>
            </w:r>
          </w:p>
        </w:tc>
      </w:tr>
    </w:tbl>
    <w:p>
      <w:pPr>
        <w:pStyle w:val="Heading2"/>
      </w:pPr>
      <w:r>
        <w:t xml:space="preserve">2C — Client: dynamic banking form based on org country</w:t>
      </w:r>
    </w:p>
    <w:p>
      <w:pPr>
        <w:spacing w:after="160"/>
      </w:pPr>
      <w:r>
        <w:t xml:space="preserve">Every screen in the app that shows a banking form (currently: AccountHubPage bank details for members, operator-earnings bank details for operators, and the reimbursement approval modal for admins) must:</w:t>
      </w:r>
    </w:p>
    <w:p>
      <w:pPr>
        <w:pStyle w:val="ListParagraph"/>
        <w:numPr>
          <w:ilvl w:val="0"/>
          <w:numId w:val="1"/>
        </w:numPr>
      </w:pPr>
      <w:r>
        <w:t xml:space="preserve">Read the org's country from the auth context or a dedicated API call (GET /admin-settings/public-branding already returns org info — check if country is included, if not add it).</w:t>
      </w:r>
    </w:p>
    <w:p>
      <w:pPr>
        <w:pStyle w:val="ListParagraph"/>
        <w:numPr>
          <w:ilvl w:val="0"/>
          <w:numId w:val="1"/>
        </w:numPr>
      </w:pPr>
      <w:r>
        <w:t xml:space="preserve">Call getBankingFormat(country) to get the field configuration for that org.</w:t>
      </w:r>
    </w:p>
    <w:p>
      <w:pPr>
        <w:pStyle w:val="ListParagraph"/>
        <w:numPr>
          <w:ilvl w:val="0"/>
          <w:numId w:val="1"/>
        </w:numPr>
      </w:pPr>
      <w:r>
        <w:t xml:space="preserve">Render only the fields relevant to that country. For Australia: show 'BSB' and 'Account Number' fields, hide IBAN/BIC. For Italy/EU: show 'IBAN' and 'BIC/SWIFT', hide BSB/Account Number. Show the currency prominently (e.g. 'Amounts in AUD' or 'Amounts in EUR') so there is never ambiguity.</w:t>
      </w:r>
    </w:p>
    <w:p>
      <w:pPr>
        <w:pStyle w:val="ListParagraph"/>
        <w:numPr>
          <w:ilvl w:val="0"/>
          <w:numId w:val="1"/>
        </w:numPr>
      </w:pPr>
      <w:r>
        <w:t xml:space="preserve">Validate the format client-side based on the country (e.g. BSB must be exactly 6 digits, IBAN must start with the country code and pass the standard IBAN checksum algorithm).</w:t>
      </w:r>
    </w:p>
    <w:p>
      <w:pPr>
        <w:pStyle w:val="Heading2"/>
      </w:pPr>
      <w:r>
        <w:t xml:space="preserve">2D — Fix the hardcoded EUR in reimbursements.ts</w:t>
      </w:r>
    </w:p>
    <w:p>
      <w:pPr>
        <w:spacing w:after="100"/>
      </w:pPr>
      <w:r>
        <w:rPr>
          <w:b/>
          <w:bCs/>
          <w:color w:val="666666"/>
        </w:rPr>
        <w:t xml:space="preserve">File: </w:t>
      </w:r>
      <w:r>
        <w:rPr>
          <w:rFonts w:ascii="Consolas" w:cs="Consolas" w:eastAsia="Consolas" w:hAnsi="Consolas"/>
          <w:color w:val="1A1A1A"/>
          <w:sz w:val="20"/>
          <w:szCs w:val="20"/>
        </w:rPr>
        <w:t xml:space="preserve">artifacts/api-server/src/routes/reimbursements.ts</w:t>
      </w:r>
    </w:p>
    <w:p>
      <w:pPr>
        <w:spacing w:after="100"/>
      </w:pPr>
      <w:r>
        <w:rPr>
          <w:b/>
          <w:bCs/>
          <w:color w:val="666666"/>
        </w:rPr>
        <w:t xml:space="preserve">Line: </w:t>
      </w:r>
      <w:r>
        <w:rPr>
          <w:rFonts w:ascii="Consolas" w:cs="Consolas" w:eastAsia="Consolas" w:hAnsi="Consolas"/>
          <w:color w:val="1A1A1A"/>
          <w:sz w:val="20"/>
          <w:szCs w:val="20"/>
        </w:rPr>
        <w:t xml:space="preserve">approximately line 102 — currency: 'EUR' hardcoded</w:t>
      </w:r>
    </w:p>
    <w:p>
      <w:pPr>
        <w:spacing w:after="160"/>
      </w:pPr>
      <w:r>
        <w:t xml:space="preserve">Replace the hardcoded 'EUR' with a DB lookup of the organization's currency field from the organizations table, using the orgId from the authenticated user's token. The pattern for this lookup already exists in checkout.ts (getPricingForOrg reads the currency) — reuse the same approach, do not duplicate the query logic.</w:t>
      </w:r>
    </w:p>
    <w:p>
      <w:pPr>
        <w:pStyle w:val="Heading2"/>
      </w:pPr>
      <w:r>
        <w:t xml:space="preserve">2E — Currency display throughout the app</w:t>
      </w:r>
    </w:p>
    <w:p>
      <w:pPr>
        <w:spacing w:after="160"/>
      </w:pPr>
      <w:r>
        <w:t xml:space="preserve">As a general rule that applies now and to all future development: any place in the app that displays a monetary amount must use the organization's currency symbol and formatting, not a hardcoded '€' or '$'. If a formatCurrency(amountCents, currency) utility function does not already exist in the client codebase, create one now and use it everywhere amounts are displayed. This function should handle at minimum: EUR (€, 2 decimal places, comma as decimal separator in EU locales), AUD (A$, 2 decimal places), GBP (£, 2 decimal places), USD ($, 2 decimal places).</w:t>
      </w:r>
    </w:p>
    <w:p>
      <w:pPr>
        <w:pStyle w:val="Heading1"/>
      </w:pPr>
      <w:r>
        <w:t xml:space="preserve">Fix 3 — Season Fee: IBAN fallback when Stripe Connect is not configured</w:t>
      </w:r>
    </w:p>
    <w:p>
      <w:pPr>
        <w:spacing w:after="100"/>
      </w:pPr>
      <w:r>
        <w:rPr>
          <w:b/>
          <w:bCs/>
          <w:color w:val="666666"/>
        </w:rPr>
        <w:t xml:space="preserve">File: </w:t>
      </w:r>
      <w:r>
        <w:rPr>
          <w:rFonts w:ascii="Consolas" w:cs="Consolas" w:eastAsia="Consolas" w:hAnsi="Consolas"/>
          <w:color w:val="1A1A1A"/>
          <w:sz w:val="20"/>
          <w:szCs w:val="20"/>
        </w:rPr>
        <w:t xml:space="preserve">artifacts/api-server/src/routes/fee-events.ts</w:t>
      </w:r>
    </w:p>
    <w:p>
      <w:pPr>
        <w:spacing w:after="100"/>
      </w:pPr>
      <w:r>
        <w:rPr>
          <w:b/>
          <w:bCs/>
          <w:color w:val="666666"/>
        </w:rPr>
        <w:t xml:space="preserve">Specific route: </w:t>
      </w:r>
      <w:r>
        <w:rPr>
          <w:rFonts w:ascii="Consolas" w:cs="Consolas" w:eastAsia="Consolas" w:hAnsi="Consolas"/>
          <w:color w:val="1A1A1A"/>
          <w:sz w:val="20"/>
          <w:szCs w:val="20"/>
        </w:rPr>
        <w:t xml:space="preserve">POST /fee-events/:id/select-items</w:t>
      </w:r>
    </w:p>
    <w:p>
      <w:pPr>
        <w:spacing w:after="100"/>
      </w:pPr>
      <w:r>
        <w:rPr>
          <w:b/>
          <w:bCs/>
          <w:color w:val="666666"/>
        </w:rPr>
        <w:t xml:space="preserve">Priority: </w:t>
      </w:r>
      <w:r>
        <w:rPr>
          <w:rFonts w:ascii="Consolas" w:cs="Consolas" w:eastAsia="Consolas" w:hAnsi="Consolas"/>
          <w:color w:val="1A1A1A"/>
          <w:sz w:val="20"/>
          <w:szCs w:val="20"/>
        </w:rPr>
        <w:t xml:space="preserve">High — prevents silent payment routing errors before test phase</w:t>
      </w:r>
    </w:p>
    <w:p>
      <w:pPr>
        <w:spacing w:after="160"/>
      </w:pPr>
      <w:r>
        <w:t xml:space="preserve">Currently verified: when an org does not have Stripe Connect configured, the Season Fee add-on payment falls back to the platform Stripe key silently. This means money could go to Stride's account instead of the association's. Fix this:</w:t>
      </w:r>
    </w:p>
    <w:p>
      <w:pPr>
        <w:pStyle w:val="ListParagraph"/>
        <w:numPr>
          <w:ilvl w:val="0"/>
          <w:numId w:val="1"/>
        </w:numPr>
      </w:pPr>
      <w:r>
        <w:t xml:space="preserve">If the org has Stripe Connect configured (stripe_connect_id exists) AND extra_ticket_price_cents &gt; 0: proceed with Stripe checkout as currently implemented.</w:t>
      </w:r>
    </w:p>
    <w:p>
      <w:pPr>
        <w:pStyle w:val="ListParagraph"/>
        <w:numPr>
          <w:ilvl w:val="0"/>
          <w:numId w:val="1"/>
        </w:numPr>
      </w:pPr>
      <w:r>
        <w:t xml:space="preserve">If the org does NOT have Stripe Connect configured AND extra_ticket_price_cents &gt; 0: do NOT fall back to the platform key. Instead, create the order record with payment_status = 'bank_transfer_pending' and return a response telling the client to show a bank transfer instruction: { ok: true, payment_method: 'bank_transfer', bank_details: { ... org banking details from organizations table ... }, total_cents, currency }. The parent sees a message: 'This payment cannot be processed online. Please transfer {amount} to the association's bank account: {banking details}. Your order will be confirmed once payment is received.' The Admin sees the pending order in the fee event stats and can manually mark it paid.</w:t>
      </w:r>
    </w:p>
    <w:p>
      <w:pPr>
        <w:pStyle w:val="ListParagraph"/>
        <w:numPr>
          <w:ilvl w:val="0"/>
          <w:numId w:val="1"/>
        </w:numPr>
      </w:pPr>
      <w:r>
        <w:t xml:space="preserve">If extra_ticket_price_cents is 0 (free selection): mark paid immediately as before — no change needed.</w:t>
      </w:r>
    </w:p>
    <w:p>
      <w:pPr>
        <w:spacing w:after="160"/>
      </w:pPr>
      <w:r>
        <w:t xml:space="preserve">Also: add the org's banking details (country-appropriate fields per Fix 2) to the organizations table query in this route, so they can be included in the bank transfer instruction to the parent.</w:t>
      </w:r>
    </w:p>
    <w:p>
      <w:pPr>
        <w:pStyle w:val="Heading2"/>
      </w:pPr>
      <w:r>
        <w:t xml:space="preserve">2F — Fix remaining hardcoded EUR/€ found by systematic audit</w:t>
      </w:r>
    </w:p>
    <w:p>
      <w:pPr>
        <w:spacing w:after="160"/>
      </w:pPr>
      <w:r>
        <w:t xml:space="preserve">A project-wide search found these additional hardcoded currency values that bypass the org's currency setting. Fix each one by replacing the hardcoded value with a lookup of the org's currency from the organizations table (same pattern as Fix 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color w:val="1A1A1A"/>
                <w:sz w:val="19"/>
                <w:szCs w:val="19"/>
              </w:rPr>
              <w:t xml:space="preserve">artifacts/api-server/src/routes/finance.ts:153</w:t>
            </w:r>
          </w:p>
          <w:p>
            <w:pPr>
              <w:spacing w:after="0"/>
            </w:pPr>
            <w:r>
              <w:rPr>
                <w:rFonts w:ascii="Consolas" w:cs="Consolas" w:eastAsia="Consolas" w:hAnsi="Consolas"/>
                <w:color w:val="1A1A1A"/>
                <w:sz w:val="19"/>
                <w:szCs w:val="19"/>
              </w:rPr>
              <w:t xml:space="preserve">  currency: 'eur'  →  read from org.currency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artifacts/api-server/src/routes/events.ts:224</w:t>
            </w:r>
          </w:p>
          <w:p>
            <w:pPr>
              <w:spacing w:after="0"/>
            </w:pPr>
            <w:r>
              <w:rPr>
                <w:rFonts w:ascii="Consolas" w:cs="Consolas" w:eastAsia="Consolas" w:hAnsi="Consolas"/>
                <w:color w:val="1A1A1A"/>
                <w:sz w:val="19"/>
                <w:szCs w:val="19"/>
              </w:rPr>
              <w:t xml:space="preserve">  currency: 'eur'  →  read from org.currency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artifacts/api-server/src/routes/private-lessons.ts:274</w:t>
            </w:r>
          </w:p>
          <w:p>
            <w:pPr>
              <w:spacing w:after="0"/>
            </w:pPr>
            <w:r>
              <w:rPr>
                <w:rFonts w:ascii="Consolas" w:cs="Consolas" w:eastAsia="Consolas" w:hAnsi="Consolas"/>
                <w:color w:val="1A1A1A"/>
                <w:sz w:val="19"/>
                <w:szCs w:val="19"/>
              </w:rPr>
              <w:t xml:space="preserve">  currency: 'eur'  →  read from org.currency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artifacts/api-server/src/routes/checkout.ts lines 913 and 952</w:t>
            </w:r>
          </w:p>
          <w:p>
            <w:pPr>
              <w:spacing w:after="0"/>
            </w:pPr>
            <w:r>
              <w:rPr>
                <w:rFonts w:ascii="Consolas" w:cs="Consolas" w:eastAsia="Consolas" w:hAnsi="Consolas"/>
                <w:color w:val="1A1A1A"/>
                <w:sz w:val="19"/>
                <w:szCs w:val="19"/>
              </w:rPr>
              <w:t xml:space="preserve">  currency: 'eur'  →  attempt org lookup; if not available use 'eur' as</w:t>
            </w:r>
          </w:p>
          <w:p>
            <w:pPr>
              <w:spacing w:after="0"/>
            </w:pPr>
            <w:r>
              <w:rPr>
                <w:rFonts w:ascii="Consolas" w:cs="Consolas" w:eastAsia="Consolas" w:hAnsi="Consolas"/>
                <w:color w:val="1A1A1A"/>
                <w:sz w:val="19"/>
                <w:szCs w:val="19"/>
              </w:rPr>
              <w:t xml:space="preserve">  genuine last-resort fallback only (these are error-path responses)</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artifacts/stride-app/app/(parent)/private-lesson-book.tsx:38</w:t>
            </w:r>
          </w:p>
          <w:p>
            <w:pPr>
              <w:spacing w:after="0"/>
            </w:pPr>
            <w:r>
              <w:rPr>
                <w:rFonts w:ascii="Consolas" w:cs="Consolas" w:eastAsia="Consolas" w:hAnsi="Consolas"/>
                <w:color w:val="1A1A1A"/>
                <w:sz w:val="19"/>
                <w:szCs w:val="19"/>
              </w:rPr>
              <w:t xml:space="preserve">  sym = '€' hardcoded  →  derive from org currency using the</w:t>
            </w:r>
          </w:p>
          <w:p>
            <w:pPr>
              <w:spacing w:after="0"/>
            </w:pPr>
            <w:r>
              <w:rPr>
                <w:rFonts w:ascii="Consolas" w:cs="Consolas" w:eastAsia="Consolas" w:hAnsi="Consolas"/>
                <w:color w:val="1A1A1A"/>
                <w:sz w:val="19"/>
                <w:szCs w:val="19"/>
              </w:rPr>
              <w:t xml:space="preserve">  getCurrencySymbol(currency) utility created in Fix 2E</w:t>
            </w:r>
          </w:p>
        </w:tc>
      </w:tr>
    </w:tbl>
    <w:p>
      <w:pPr>
        <w:spacing w:after="160"/>
      </w:pPr>
      <w:r>
        <w:t xml:space="preserve">Also note: artifacts/api-server/src/lib/qr-pricing.ts contains a static FX table (AUD/EUR/USD/GBP only) used for Stride's own subscription billing. This is NOT the same as org-level currency — leave it alone. However, any currency not in that table falls back to EUR silently. Add AUD as the primary (already there) and note that JPY, AZN, and other currencies are not supported yet — this is a known limitation for future expansion, not a bug to fix now.</w:t>
      </w:r>
    </w:p>
    <w:p>
      <w:pPr>
        <w:spacing w:before="500"/>
      </w:pPr>
      <w:r>
        <w:rPr>
          <w:b/>
          <w:bCs/>
        </w:rPr>
        <w:t xml:space="preserve">End of batch. </w:t>
      </w:r>
      <w:r>
        <w:t xml:space="preserve">Apply Fix 1, typecheck, then Fix 2 (2A-2F as one logical unit), typecheck, then Fix 3, typecheck. Provide file and line for every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Fix Batch: Banking, Medical Notes, Season Fee Fallback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2026-07-01T07:51:15.151Z</dcterms:created>
  <dcterms:modified xsi:type="dcterms:W3CDTF">2026-07-01T07:51:15.163Z</dcterms:modified>
</cp:coreProperties>
</file>

<file path=docProps/custom.xml><?xml version="1.0" encoding="utf-8"?>
<Properties xmlns="http://schemas.openxmlformats.org/officeDocument/2006/custom-properties" xmlns:vt="http://schemas.openxmlformats.org/officeDocument/2006/docPropsVTypes"/>
</file>