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364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43"/>
        <w:gridCol w:w="1432"/>
        <w:gridCol w:w="3864"/>
        <w:gridCol w:w="1549"/>
        <w:gridCol w:w="2399"/>
        <w:gridCol w:w="1962"/>
        <w:gridCol w:w="2072"/>
        <w:gridCol w:w="1199"/>
      </w:tblGrid>
      <w:tr w14:paraId="1A225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82" w:type="pct"/>
            <w:tcBorders>
              <w:top w:val="nil"/>
              <w:left w:val="nil"/>
              <w:bottom w:val="nil"/>
              <w:right w:val="nil"/>
            </w:tcBorders>
            <w:shd w:val="clear" w:color="auto" w:fill="FFFFFF"/>
            <w:noWrap/>
            <w:vAlign w:val="center"/>
          </w:tcPr>
          <w:p w14:paraId="7453F426">
            <w:pPr>
              <w:keepNext w:val="0"/>
              <w:keepLines w:val="0"/>
              <w:widowControl/>
              <w:suppressLineNumbers w:val="0"/>
              <w:jc w:val="center"/>
              <w:textAlignment w:val="center"/>
              <w:rPr>
                <w:rFonts w:ascii="Arial" w:hAnsi="Arial" w:eastAsia="宋体" w:cs="Arial"/>
                <w:b/>
                <w:bCs/>
                <w:i w:val="0"/>
                <w:iCs w:val="0"/>
                <w:color w:val="303030"/>
                <w:sz w:val="21"/>
                <w:szCs w:val="21"/>
                <w:u w:val="none"/>
              </w:rPr>
            </w:pPr>
            <w:r>
              <w:rPr>
                <w:rFonts w:hint="default" w:ascii="Arial" w:hAnsi="Arial" w:eastAsia="宋体" w:cs="Arial"/>
                <w:b/>
                <w:bCs/>
                <w:i w:val="0"/>
                <w:iCs w:val="0"/>
                <w:color w:val="303030"/>
                <w:kern w:val="0"/>
                <w:sz w:val="21"/>
                <w:szCs w:val="21"/>
                <w:u w:val="none"/>
                <w:bdr w:val="none" w:color="auto" w:sz="0" w:space="0"/>
                <w:lang w:val="en-US" w:eastAsia="zh-CN" w:bidi="ar"/>
              </w:rPr>
              <w:t>Study (Year)</w:t>
            </w:r>
          </w:p>
        </w:tc>
        <w:tc>
          <w:tcPr>
            <w:tcW w:w="482" w:type="pct"/>
            <w:tcBorders>
              <w:top w:val="nil"/>
              <w:left w:val="nil"/>
              <w:bottom w:val="nil"/>
              <w:right w:val="nil"/>
            </w:tcBorders>
            <w:shd w:val="clear" w:color="auto" w:fill="FFFFFF"/>
            <w:noWrap/>
            <w:vAlign w:val="center"/>
          </w:tcPr>
          <w:p w14:paraId="0CF9EE2E">
            <w:pPr>
              <w:keepNext w:val="0"/>
              <w:keepLines w:val="0"/>
              <w:widowControl/>
              <w:suppressLineNumbers w:val="0"/>
              <w:jc w:val="center"/>
              <w:textAlignment w:val="center"/>
              <w:rPr>
                <w:rFonts w:hint="default" w:ascii="Arial" w:hAnsi="Arial" w:eastAsia="宋体" w:cs="Arial"/>
                <w:b/>
                <w:bCs/>
                <w:i w:val="0"/>
                <w:iCs w:val="0"/>
                <w:color w:val="303030"/>
                <w:sz w:val="21"/>
                <w:szCs w:val="21"/>
                <w:u w:val="none"/>
              </w:rPr>
            </w:pPr>
            <w:r>
              <w:rPr>
                <w:rFonts w:hint="default" w:ascii="Arial" w:hAnsi="Arial" w:eastAsia="宋体" w:cs="Arial"/>
                <w:b/>
                <w:bCs/>
                <w:i w:val="0"/>
                <w:iCs w:val="0"/>
                <w:color w:val="303030"/>
                <w:kern w:val="0"/>
                <w:sz w:val="21"/>
                <w:szCs w:val="21"/>
                <w:u w:val="none"/>
                <w:bdr w:val="none" w:color="auto" w:sz="0" w:space="0"/>
                <w:lang w:val="en-US" w:eastAsia="zh-CN" w:bidi="ar"/>
              </w:rPr>
              <w:t>Sample Size</w:t>
            </w:r>
          </w:p>
        </w:tc>
        <w:tc>
          <w:tcPr>
            <w:tcW w:w="1165" w:type="pct"/>
            <w:tcBorders>
              <w:top w:val="nil"/>
              <w:left w:val="nil"/>
              <w:bottom w:val="nil"/>
              <w:right w:val="nil"/>
            </w:tcBorders>
            <w:shd w:val="clear" w:color="auto" w:fill="FFFFFF"/>
            <w:noWrap/>
            <w:vAlign w:val="center"/>
          </w:tcPr>
          <w:p w14:paraId="77B7B956">
            <w:pPr>
              <w:keepNext w:val="0"/>
              <w:keepLines w:val="0"/>
              <w:widowControl/>
              <w:suppressLineNumbers w:val="0"/>
              <w:jc w:val="center"/>
              <w:textAlignment w:val="center"/>
              <w:rPr>
                <w:rFonts w:hint="default" w:ascii="Arial" w:hAnsi="Arial" w:eastAsia="宋体" w:cs="Arial"/>
                <w:b/>
                <w:bCs/>
                <w:i w:val="0"/>
                <w:iCs w:val="0"/>
                <w:color w:val="303030"/>
                <w:sz w:val="21"/>
                <w:szCs w:val="21"/>
                <w:u w:val="none"/>
              </w:rPr>
            </w:pPr>
            <w:r>
              <w:rPr>
                <w:rFonts w:hint="default" w:ascii="Arial" w:hAnsi="Arial" w:eastAsia="宋体" w:cs="Arial"/>
                <w:b/>
                <w:bCs/>
                <w:i w:val="0"/>
                <w:iCs w:val="0"/>
                <w:color w:val="303030"/>
                <w:kern w:val="0"/>
                <w:sz w:val="21"/>
                <w:szCs w:val="21"/>
                <w:u w:val="none"/>
                <w:bdr w:val="none" w:color="auto" w:sz="0" w:space="0"/>
                <w:lang w:val="en-US" w:eastAsia="zh-CN" w:bidi="ar"/>
              </w:rPr>
              <w:t>Target Population</w:t>
            </w:r>
          </w:p>
        </w:tc>
        <w:tc>
          <w:tcPr>
            <w:tcW w:w="485" w:type="pct"/>
            <w:tcBorders>
              <w:top w:val="nil"/>
              <w:left w:val="nil"/>
              <w:bottom w:val="nil"/>
              <w:right w:val="nil"/>
            </w:tcBorders>
            <w:shd w:val="clear" w:color="auto" w:fill="FFFFFF"/>
            <w:noWrap/>
            <w:vAlign w:val="center"/>
          </w:tcPr>
          <w:p w14:paraId="13F4612A">
            <w:pPr>
              <w:keepNext w:val="0"/>
              <w:keepLines w:val="0"/>
              <w:widowControl/>
              <w:suppressLineNumbers w:val="0"/>
              <w:jc w:val="center"/>
              <w:textAlignment w:val="center"/>
              <w:rPr>
                <w:rFonts w:hint="default" w:ascii="Arial" w:hAnsi="Arial" w:eastAsia="宋体" w:cs="Arial"/>
                <w:b/>
                <w:bCs/>
                <w:i w:val="0"/>
                <w:iCs w:val="0"/>
                <w:color w:val="303030"/>
                <w:sz w:val="21"/>
                <w:szCs w:val="21"/>
                <w:u w:val="none"/>
              </w:rPr>
            </w:pPr>
            <w:r>
              <w:rPr>
                <w:rFonts w:hint="default" w:ascii="Arial" w:hAnsi="Arial" w:eastAsia="宋体" w:cs="Arial"/>
                <w:b/>
                <w:bCs/>
                <w:i w:val="0"/>
                <w:iCs w:val="0"/>
                <w:color w:val="303030"/>
                <w:kern w:val="0"/>
                <w:sz w:val="21"/>
                <w:szCs w:val="21"/>
                <w:u w:val="none"/>
                <w:bdr w:val="none" w:color="auto" w:sz="0" w:space="0"/>
                <w:lang w:val="en-US" w:eastAsia="zh-CN" w:bidi="ar"/>
              </w:rPr>
              <w:t>Lesion Grade</w:t>
            </w:r>
          </w:p>
        </w:tc>
        <w:tc>
          <w:tcPr>
            <w:tcW w:w="723" w:type="pct"/>
            <w:tcBorders>
              <w:top w:val="nil"/>
              <w:left w:val="nil"/>
              <w:bottom w:val="nil"/>
              <w:right w:val="nil"/>
            </w:tcBorders>
            <w:shd w:val="clear" w:color="auto" w:fill="FFFFFF"/>
            <w:noWrap/>
            <w:vAlign w:val="center"/>
          </w:tcPr>
          <w:p w14:paraId="4CA715F9">
            <w:pPr>
              <w:keepNext w:val="0"/>
              <w:keepLines w:val="0"/>
              <w:widowControl/>
              <w:suppressLineNumbers w:val="0"/>
              <w:jc w:val="center"/>
              <w:textAlignment w:val="center"/>
              <w:rPr>
                <w:rFonts w:hint="default" w:ascii="Arial" w:hAnsi="Arial" w:eastAsia="宋体" w:cs="Arial"/>
                <w:b/>
                <w:bCs/>
                <w:i w:val="0"/>
                <w:iCs w:val="0"/>
                <w:color w:val="303030"/>
                <w:sz w:val="21"/>
                <w:szCs w:val="21"/>
                <w:u w:val="none"/>
              </w:rPr>
            </w:pPr>
            <w:r>
              <w:rPr>
                <w:rFonts w:hint="default" w:ascii="Arial" w:hAnsi="Arial" w:eastAsia="宋体" w:cs="Arial"/>
                <w:b/>
                <w:bCs/>
                <w:i w:val="0"/>
                <w:iCs w:val="0"/>
                <w:color w:val="303030"/>
                <w:kern w:val="0"/>
                <w:sz w:val="21"/>
                <w:szCs w:val="21"/>
                <w:u w:val="none"/>
                <w:bdr w:val="none" w:color="auto" w:sz="0" w:space="0"/>
                <w:lang w:val="en-US" w:eastAsia="zh-CN" w:bidi="ar"/>
              </w:rPr>
              <w:t>AUC</w:t>
            </w:r>
          </w:p>
        </w:tc>
        <w:tc>
          <w:tcPr>
            <w:tcW w:w="591" w:type="pct"/>
            <w:tcBorders>
              <w:top w:val="nil"/>
              <w:left w:val="nil"/>
              <w:bottom w:val="nil"/>
              <w:right w:val="nil"/>
            </w:tcBorders>
            <w:shd w:val="clear" w:color="auto" w:fill="FFFFFF"/>
            <w:noWrap/>
            <w:vAlign w:val="center"/>
          </w:tcPr>
          <w:p w14:paraId="772CDEFB">
            <w:pPr>
              <w:keepNext w:val="0"/>
              <w:keepLines w:val="0"/>
              <w:widowControl/>
              <w:suppressLineNumbers w:val="0"/>
              <w:jc w:val="center"/>
              <w:textAlignment w:val="center"/>
              <w:rPr>
                <w:rFonts w:hint="default" w:ascii="Arial" w:hAnsi="Arial" w:eastAsia="宋体" w:cs="Arial"/>
                <w:b/>
                <w:bCs/>
                <w:i w:val="0"/>
                <w:iCs w:val="0"/>
                <w:color w:val="303030"/>
                <w:sz w:val="21"/>
                <w:szCs w:val="21"/>
                <w:u w:val="none"/>
              </w:rPr>
            </w:pPr>
            <w:r>
              <w:rPr>
                <w:rFonts w:hint="default" w:ascii="Arial" w:hAnsi="Arial" w:eastAsia="宋体" w:cs="Arial"/>
                <w:b/>
                <w:bCs/>
                <w:i w:val="0"/>
                <w:iCs w:val="0"/>
                <w:color w:val="303030"/>
                <w:kern w:val="0"/>
                <w:sz w:val="21"/>
                <w:szCs w:val="21"/>
                <w:u w:val="none"/>
                <w:bdr w:val="none" w:color="auto" w:sz="0" w:space="0"/>
                <w:lang w:val="en-US" w:eastAsia="zh-CN" w:bidi="ar"/>
              </w:rPr>
              <w:t>Sensitivity</w:t>
            </w:r>
          </w:p>
        </w:tc>
        <w:tc>
          <w:tcPr>
            <w:tcW w:w="624" w:type="pct"/>
            <w:tcBorders>
              <w:top w:val="nil"/>
              <w:left w:val="nil"/>
              <w:bottom w:val="nil"/>
              <w:right w:val="nil"/>
            </w:tcBorders>
            <w:shd w:val="clear" w:color="auto" w:fill="FFFFFF"/>
            <w:noWrap/>
            <w:vAlign w:val="center"/>
          </w:tcPr>
          <w:p w14:paraId="0C9664CC">
            <w:pPr>
              <w:keepNext w:val="0"/>
              <w:keepLines w:val="0"/>
              <w:widowControl/>
              <w:suppressLineNumbers w:val="0"/>
              <w:jc w:val="center"/>
              <w:textAlignment w:val="center"/>
              <w:rPr>
                <w:rFonts w:hint="default" w:ascii="Arial" w:hAnsi="Arial" w:eastAsia="宋体" w:cs="Arial"/>
                <w:b/>
                <w:bCs/>
                <w:i w:val="0"/>
                <w:iCs w:val="0"/>
                <w:color w:val="303030"/>
                <w:sz w:val="21"/>
                <w:szCs w:val="21"/>
                <w:u w:val="none"/>
              </w:rPr>
            </w:pPr>
            <w:r>
              <w:rPr>
                <w:rFonts w:hint="default" w:ascii="Arial" w:hAnsi="Arial" w:eastAsia="宋体" w:cs="Arial"/>
                <w:b/>
                <w:bCs/>
                <w:i w:val="0"/>
                <w:iCs w:val="0"/>
                <w:color w:val="303030"/>
                <w:kern w:val="0"/>
                <w:sz w:val="21"/>
                <w:szCs w:val="21"/>
                <w:u w:val="none"/>
                <w:bdr w:val="none" w:color="auto" w:sz="0" w:space="0"/>
                <w:lang w:val="en-US" w:eastAsia="zh-CN" w:bidi="ar"/>
              </w:rPr>
              <w:t>Specificity</w:t>
            </w:r>
          </w:p>
        </w:tc>
        <w:tc>
          <w:tcPr>
            <w:tcW w:w="444" w:type="pct"/>
            <w:tcBorders>
              <w:top w:val="nil"/>
              <w:left w:val="nil"/>
              <w:bottom w:val="nil"/>
              <w:right w:val="nil"/>
            </w:tcBorders>
            <w:shd w:val="clear"/>
            <w:noWrap/>
            <w:vAlign w:val="center"/>
          </w:tcPr>
          <w:p w14:paraId="7009B2C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Reference</w:t>
            </w:r>
          </w:p>
        </w:tc>
      </w:tr>
      <w:tr w14:paraId="2190A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82" w:type="pct"/>
            <w:tcBorders>
              <w:top w:val="nil"/>
              <w:left w:val="nil"/>
              <w:bottom w:val="nil"/>
              <w:right w:val="nil"/>
            </w:tcBorders>
            <w:shd w:val="clear"/>
            <w:noWrap/>
            <w:vAlign w:val="center"/>
          </w:tcPr>
          <w:p w14:paraId="4A83E5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Yu (2024)</w:t>
            </w:r>
          </w:p>
        </w:tc>
        <w:tc>
          <w:tcPr>
            <w:tcW w:w="482" w:type="pct"/>
            <w:tcBorders>
              <w:top w:val="nil"/>
              <w:left w:val="nil"/>
              <w:bottom w:val="nil"/>
              <w:right w:val="nil"/>
            </w:tcBorders>
            <w:shd w:val="clear"/>
            <w:noWrap/>
            <w:vAlign w:val="center"/>
          </w:tcPr>
          <w:p w14:paraId="63B9925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301</w:t>
            </w:r>
          </w:p>
        </w:tc>
        <w:tc>
          <w:tcPr>
            <w:tcW w:w="1165" w:type="pct"/>
            <w:tcBorders>
              <w:top w:val="nil"/>
              <w:left w:val="nil"/>
              <w:bottom w:val="nil"/>
              <w:right w:val="nil"/>
            </w:tcBorders>
            <w:shd w:val="clear"/>
            <w:noWrap/>
            <w:vAlign w:val="center"/>
          </w:tcPr>
          <w:p w14:paraId="4096D499">
            <w:pPr>
              <w:keepNext w:val="0"/>
              <w:keepLines w:val="0"/>
              <w:widowControl/>
              <w:suppressLineNumbers w:val="0"/>
              <w:jc w:val="left"/>
              <w:textAlignment w:val="center"/>
              <w:rPr>
                <w:rFonts w:hint="default" w:ascii="Arial" w:hAnsi="Arial" w:eastAsia="宋体" w:cs="Arial"/>
                <w:i w:val="0"/>
                <w:iCs w:val="0"/>
                <w:color w:val="303030"/>
                <w:sz w:val="21"/>
                <w:szCs w:val="21"/>
                <w:u w:val="none"/>
              </w:rPr>
            </w:pPr>
            <w:r>
              <w:rPr>
                <w:rFonts w:hint="default" w:ascii="Arial" w:hAnsi="Arial" w:eastAsia="宋体" w:cs="Arial"/>
                <w:i w:val="0"/>
                <w:iCs w:val="0"/>
                <w:color w:val="303030"/>
                <w:kern w:val="0"/>
                <w:sz w:val="21"/>
                <w:szCs w:val="21"/>
                <w:u w:val="none"/>
                <w:bdr w:val="none" w:color="auto" w:sz="0" w:space="0"/>
                <w:lang w:val="en-US" w:eastAsia="zh-CN" w:bidi="ar"/>
              </w:rPr>
              <w:t>Self-Sampling</w:t>
            </w:r>
          </w:p>
        </w:tc>
        <w:tc>
          <w:tcPr>
            <w:tcW w:w="485" w:type="pct"/>
            <w:tcBorders>
              <w:top w:val="nil"/>
              <w:left w:val="nil"/>
              <w:bottom w:val="nil"/>
              <w:right w:val="nil"/>
            </w:tcBorders>
            <w:shd w:val="clear"/>
            <w:noWrap/>
            <w:vAlign w:val="center"/>
          </w:tcPr>
          <w:p w14:paraId="22285C9F">
            <w:pPr>
              <w:keepNext w:val="0"/>
              <w:keepLines w:val="0"/>
              <w:widowControl/>
              <w:suppressLineNumbers w:val="0"/>
              <w:jc w:val="left"/>
              <w:textAlignment w:val="center"/>
              <w:rPr>
                <w:rFonts w:hint="default" w:ascii="Arial" w:hAnsi="Arial" w:eastAsia="宋体" w:cs="Arial"/>
                <w:i w:val="0"/>
                <w:iCs w:val="0"/>
                <w:color w:val="303030"/>
                <w:sz w:val="21"/>
                <w:szCs w:val="21"/>
                <w:u w:val="none"/>
              </w:rPr>
            </w:pPr>
            <w:r>
              <w:rPr>
                <w:rFonts w:hint="default" w:ascii="Arial" w:hAnsi="Arial" w:eastAsia="宋体" w:cs="Arial"/>
                <w:i w:val="0"/>
                <w:iCs w:val="0"/>
                <w:color w:val="303030"/>
                <w:kern w:val="0"/>
                <w:sz w:val="21"/>
                <w:szCs w:val="21"/>
                <w:u w:val="none"/>
                <w:bdr w:val="none" w:color="auto" w:sz="0" w:space="0"/>
                <w:lang w:val="en-US" w:eastAsia="zh-CN" w:bidi="ar"/>
              </w:rPr>
              <w:t>CIN2+</w:t>
            </w:r>
          </w:p>
        </w:tc>
        <w:tc>
          <w:tcPr>
            <w:tcW w:w="723" w:type="pct"/>
            <w:tcBorders>
              <w:top w:val="nil"/>
              <w:left w:val="nil"/>
              <w:bottom w:val="nil"/>
              <w:right w:val="nil"/>
            </w:tcBorders>
            <w:shd w:val="clear"/>
            <w:noWrap/>
            <w:vAlign w:val="center"/>
          </w:tcPr>
          <w:p w14:paraId="597206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w:t>
            </w:r>
          </w:p>
        </w:tc>
        <w:tc>
          <w:tcPr>
            <w:tcW w:w="591" w:type="pct"/>
            <w:tcBorders>
              <w:top w:val="nil"/>
              <w:left w:val="nil"/>
              <w:bottom w:val="nil"/>
              <w:right w:val="nil"/>
            </w:tcBorders>
            <w:shd w:val="clear"/>
            <w:noWrap/>
            <w:vAlign w:val="center"/>
          </w:tcPr>
          <w:p w14:paraId="77EC400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77.6(65.3~86.4)</w:t>
            </w:r>
          </w:p>
        </w:tc>
        <w:tc>
          <w:tcPr>
            <w:tcW w:w="624" w:type="pct"/>
            <w:tcBorders>
              <w:top w:val="nil"/>
              <w:left w:val="nil"/>
              <w:bottom w:val="nil"/>
              <w:right w:val="nil"/>
            </w:tcBorders>
            <w:shd w:val="clear"/>
            <w:noWrap/>
            <w:vAlign w:val="center"/>
          </w:tcPr>
          <w:p w14:paraId="042497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87.2(80.5~91.9)</w:t>
            </w:r>
          </w:p>
        </w:tc>
        <w:tc>
          <w:tcPr>
            <w:tcW w:w="444" w:type="pct"/>
            <w:tcBorders>
              <w:top w:val="nil"/>
              <w:left w:val="nil"/>
              <w:bottom w:val="nil"/>
              <w:right w:val="nil"/>
            </w:tcBorders>
            <w:shd w:val="clear"/>
            <w:noWrap/>
            <w:vAlign w:val="center"/>
          </w:tcPr>
          <w:p w14:paraId="4DDE5E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fldChar w:fldCharType="begin"/>
            </w:r>
            <w:r>
              <w:rPr>
                <w:rFonts w:hint="eastAsia" w:ascii="宋体" w:hAnsi="宋体" w:eastAsia="宋体" w:cs="宋体"/>
                <w:i w:val="0"/>
                <w:iCs w:val="0"/>
                <w:color w:val="000000"/>
                <w:sz w:val="22"/>
                <w:szCs w:val="22"/>
                <w:u w:val="none"/>
                <w:lang w:eastAsia="zh-CN"/>
              </w:rPr>
              <w:instrText xml:space="preserve"> ADDIN ZOTERO_ITEM CSL_CITATION {"citationID":"P5aZtd1l","properties":{"unsorted":false,"formattedCitation":"[1]","plainCitation":"[1]","noteIndex":0},"citationItems":[{"id":23,"uris":["http://zotero.org/users/6238681/items/XUTMATER"],"itemData":{"id":23,"type":"article-journal","abstract":"目的 探讨女性自采样本进行配对盒基因1（PAX1）/结合连接黏附分子 3（JAM3）双基因甲基化检测在子宫颈癌筛查与绝经前后女性分层管理的应用价值。方法 单中心横断面研究。2023年1—11月在阴道镜门诊同时收集女性自采样本及医生采样样本，分别进行PAX1/JAM3双基因甲基化（PAX1 /JAM3 ）检测，以组织病理学为标准。总计招募301例接受阴道镜检查女性，并对272例有组织病理与检测信息的女性进行统计分析。通过Spearman相关性分析和χ²检验比较两种采样方法PAX1 /JAM3 检测结果的一致性。通过计算受试者操作特征曲线（ROC）和曲线下面积（AUC）比较女性自采样本甲基化检测与现行临床检测及其组合方法在临床研究中用于子宫颈癌筛查的效益。 结果 在所有招募的受试者中，正常子宫颈组织或慢性子宫颈炎102例（37.5%）、子宫颈上皮内瘤变1级（CIN1）72例（26.4%）、CIN2 43例（15.8%）、CIN3 29例（10.7%）、子宫颈癌26例（9.6%）。按最低检出量公式计算区分成为81例一致性研究组和191例临床研究组。Spearman相关性分析表明，自采样本和医生采样样本进行PAX1和JAM3双基因甲基化检测结果的卡氏评分呈正相关（ =0.858、0.828， 均&lt;0.001）；自采样本在临床研究中结果显示PAX1 /JAM3 检测诊断CIN2或更严重病变（CIN2+）的敏感度和特异度分别为77.6%（ 65.3%~86.4%）和87.2%（95% 80.5%~91.9%），PAX1 /JAM3 联合人乳头瘤病毒16/18型（HPV16/18）检测的敏感度与高危人乳头瘤病毒（hrHPV）检测相同为89.7%（95% 79.2%~95.2%）；在CIN3+时为96.0%（95% 80.4%~99.3%），优于hrHPV的92.0%（95% 75.0%~97.8%）、细胞学的82.6%（95% 62.9%~93.0%）及sPAX1 /JAM3 联合细胞学检测低度及以上鳞状上皮内病变（LBC ）［87.0%（95% 67.9%~95.5%）］。 结论 女性自采样本进行PAX1与JAM3双基因甲基化检测作为子宫颈癌筛查具有操作与临床可行性。","citation-key":"YuFuRongNuXingYinDaoZiCaiYangBenJianCePAX1JAM3ShuangJiYinJiaJiHuaBiaoZhiWuZuoWeiZiGongJingAiShaiChaDeKeXingXingPingGu2024","container-title":"中华检验医学杂志","DOI":"10.3760/cma.j.cn114452-20240109-00016","ISSN":"1009-9158","issue":"4","journalAbbreviation":"中华检验医学杂志","language":"zh","license":"© 2022《中华医学杂志》社有限责任公司版权所有","note":"original-title: Feasibility Evaluation of using PAX1/JAM3 methylation markers as cervical cancer screening for female self-collected samples\noriginal-creator:  Yu  Furong   \noriginal-creator:  Ma  Jiezhi   \noriginal-creator:  Zhou  Xi   \noriginal-creator:  Li  Genlin   \noriginal-creator:  Peng  Jiaqi   \noriginal-creator:  Li  Ping   \noriginal-creator:  Zeng  Fei   \noriginal-creator:  Xie  Xiaobing   \noriginal-creator:  Dong  Weilei   \nview: 474\ndownload: 84\ncomment: 0\nlike: 0\ncollect: 3\nshare: 1","page":"419-427","publisher":"《中华医学杂志》社有限责任公司","source":"rs.yiigle.com","title":"女性阴道自采样本检测PAX1/JAM3双基因甲基化标志物作为子宫颈癌筛查的可行性评估","volume":"47","author":[{"literal":"余芙蓉"},{"literal":"马洁稚"},{"literal":"周希"},{"literal":"李根林"},{"literal":"彭嘉琪"},{"literal":"李萍"},{"literal":"曾飞"},{"literal":"谢小兵"},{"literal":"董巍檑"}],"issued":{"date-parts":[["2024",4,19]]}}}],"schema":"https://github.com/citation-style-language/schema/raw/master/csl-citation.json"} </w:instrText>
            </w:r>
            <w:r>
              <w:rPr>
                <w:rFonts w:hint="eastAsia" w:ascii="宋体" w:hAnsi="宋体" w:eastAsia="宋体" w:cs="宋体"/>
                <w:i w:val="0"/>
                <w:iCs w:val="0"/>
                <w:color w:val="000000"/>
                <w:sz w:val="22"/>
                <w:szCs w:val="22"/>
                <w:u w:val="none"/>
              </w:rPr>
              <w:fldChar w:fldCharType="separate"/>
            </w:r>
            <w:r>
              <w:rPr>
                <w:rFonts w:hint="default" w:ascii="Calibri" w:hAnsi="Calibri" w:eastAsia="宋体" w:cs="Calibri"/>
                <w:sz w:val="22"/>
                <w:lang w:eastAsia="zh-CN"/>
              </w:rPr>
              <w:t>[1]</w:t>
            </w:r>
            <w:r>
              <w:rPr>
                <w:rFonts w:hint="eastAsia" w:ascii="宋体" w:hAnsi="宋体" w:eastAsia="宋体" w:cs="宋体"/>
                <w:i w:val="0"/>
                <w:iCs w:val="0"/>
                <w:color w:val="000000"/>
                <w:sz w:val="22"/>
                <w:szCs w:val="22"/>
                <w:u w:val="none"/>
              </w:rPr>
              <w:fldChar w:fldCharType="end"/>
            </w:r>
          </w:p>
        </w:tc>
      </w:tr>
      <w:tr w14:paraId="0AE5A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82" w:type="pct"/>
            <w:tcBorders>
              <w:top w:val="nil"/>
              <w:left w:val="nil"/>
              <w:bottom w:val="nil"/>
              <w:right w:val="nil"/>
            </w:tcBorders>
            <w:shd w:val="clear"/>
            <w:noWrap/>
            <w:vAlign w:val="center"/>
          </w:tcPr>
          <w:p w14:paraId="72BB39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Yu (2024)</w:t>
            </w:r>
          </w:p>
        </w:tc>
        <w:tc>
          <w:tcPr>
            <w:tcW w:w="482" w:type="pct"/>
            <w:tcBorders>
              <w:top w:val="nil"/>
              <w:left w:val="nil"/>
              <w:bottom w:val="nil"/>
              <w:right w:val="nil"/>
            </w:tcBorders>
            <w:shd w:val="clear"/>
            <w:noWrap/>
            <w:vAlign w:val="center"/>
          </w:tcPr>
          <w:p w14:paraId="45E2EBD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301</w:t>
            </w:r>
          </w:p>
        </w:tc>
        <w:tc>
          <w:tcPr>
            <w:tcW w:w="1165" w:type="pct"/>
            <w:tcBorders>
              <w:top w:val="nil"/>
              <w:left w:val="nil"/>
              <w:bottom w:val="nil"/>
              <w:right w:val="nil"/>
            </w:tcBorders>
            <w:shd w:val="clear"/>
            <w:noWrap/>
            <w:vAlign w:val="center"/>
          </w:tcPr>
          <w:p w14:paraId="462933CB">
            <w:pPr>
              <w:keepNext w:val="0"/>
              <w:keepLines w:val="0"/>
              <w:widowControl/>
              <w:suppressLineNumbers w:val="0"/>
              <w:jc w:val="left"/>
              <w:textAlignment w:val="center"/>
              <w:rPr>
                <w:rFonts w:hint="default" w:ascii="Arial" w:hAnsi="Arial" w:eastAsia="宋体" w:cs="Arial"/>
                <w:i w:val="0"/>
                <w:iCs w:val="0"/>
                <w:color w:val="303030"/>
                <w:sz w:val="21"/>
                <w:szCs w:val="21"/>
                <w:u w:val="none"/>
              </w:rPr>
            </w:pPr>
            <w:r>
              <w:rPr>
                <w:rFonts w:hint="default" w:ascii="Arial" w:hAnsi="Arial" w:eastAsia="宋体" w:cs="Arial"/>
                <w:i w:val="0"/>
                <w:iCs w:val="0"/>
                <w:color w:val="303030"/>
                <w:kern w:val="0"/>
                <w:sz w:val="21"/>
                <w:szCs w:val="21"/>
                <w:u w:val="none"/>
                <w:bdr w:val="none" w:color="auto" w:sz="0" w:space="0"/>
                <w:lang w:val="en-US" w:eastAsia="zh-CN" w:bidi="ar"/>
              </w:rPr>
              <w:t>Self-Sampling</w:t>
            </w:r>
          </w:p>
        </w:tc>
        <w:tc>
          <w:tcPr>
            <w:tcW w:w="485" w:type="pct"/>
            <w:tcBorders>
              <w:top w:val="nil"/>
              <w:left w:val="nil"/>
              <w:bottom w:val="nil"/>
              <w:right w:val="nil"/>
            </w:tcBorders>
            <w:shd w:val="clear"/>
            <w:noWrap/>
            <w:vAlign w:val="center"/>
          </w:tcPr>
          <w:p w14:paraId="58B5D33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CIN3+</w:t>
            </w:r>
          </w:p>
        </w:tc>
        <w:tc>
          <w:tcPr>
            <w:tcW w:w="723" w:type="pct"/>
            <w:tcBorders>
              <w:top w:val="nil"/>
              <w:left w:val="nil"/>
              <w:bottom w:val="nil"/>
              <w:right w:val="nil"/>
            </w:tcBorders>
            <w:shd w:val="clear"/>
            <w:noWrap/>
            <w:vAlign w:val="center"/>
          </w:tcPr>
          <w:p w14:paraId="6F700E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w:t>
            </w:r>
          </w:p>
        </w:tc>
        <w:tc>
          <w:tcPr>
            <w:tcW w:w="591" w:type="pct"/>
            <w:tcBorders>
              <w:top w:val="nil"/>
              <w:left w:val="nil"/>
              <w:bottom w:val="nil"/>
              <w:right w:val="nil"/>
            </w:tcBorders>
            <w:shd w:val="clear"/>
            <w:noWrap/>
            <w:vAlign w:val="center"/>
          </w:tcPr>
          <w:p w14:paraId="054363D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88.0(70.0~95.8)</w:t>
            </w:r>
          </w:p>
        </w:tc>
        <w:tc>
          <w:tcPr>
            <w:tcW w:w="624" w:type="pct"/>
            <w:tcBorders>
              <w:top w:val="nil"/>
              <w:left w:val="nil"/>
              <w:bottom w:val="nil"/>
              <w:right w:val="nil"/>
            </w:tcBorders>
            <w:shd w:val="clear"/>
            <w:noWrap/>
            <w:vAlign w:val="center"/>
          </w:tcPr>
          <w:p w14:paraId="0A129B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75.9(68.8~81.8)</w:t>
            </w:r>
          </w:p>
        </w:tc>
        <w:tc>
          <w:tcPr>
            <w:tcW w:w="444" w:type="pct"/>
            <w:tcBorders>
              <w:top w:val="nil"/>
              <w:left w:val="nil"/>
              <w:bottom w:val="nil"/>
              <w:right w:val="nil"/>
            </w:tcBorders>
            <w:shd w:val="clear"/>
            <w:noWrap/>
            <w:vAlign w:val="center"/>
          </w:tcPr>
          <w:p w14:paraId="1224CC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fldChar w:fldCharType="begin"/>
            </w:r>
            <w:r>
              <w:rPr>
                <w:rFonts w:hint="eastAsia" w:ascii="宋体" w:hAnsi="宋体" w:eastAsia="宋体" w:cs="宋体"/>
                <w:i w:val="0"/>
                <w:iCs w:val="0"/>
                <w:color w:val="000000"/>
                <w:sz w:val="22"/>
                <w:szCs w:val="22"/>
                <w:u w:val="none"/>
                <w:lang w:eastAsia="zh-CN"/>
              </w:rPr>
              <w:instrText xml:space="preserve"> ADDIN ZOTERO_ITEM CSL_CITATION {"citationID":"DvDhQAFW","properties":{"unsorted":false,"formattedCitation":"[1]","plainCitation":"[1]","noteIndex":0},"citationItems":[{"id":23,"uris":["http://zotero.org/users/6238681/items/XUTMATER"],"itemData":{"id":23,"type":"article-journal","abstract":"目的 探讨女性自采样本进行配对盒基因1（PAX1）/结合连接黏附分子 3（JAM3）双基因甲基化检测在子宫颈癌筛查与绝经前后女性分层管理的应用价值。方法 单中心横断面研究。2023年1—11月在阴道镜门诊同时收集女性自采样本及医生采样样本，分别进行PAX1/JAM3双基因甲基化（PAX1 /JAM3 ）检测，以组织病理学为标准。总计招募301例接受阴道镜检查女性，并对272例有组织病理与检测信息的女性进行统计分析。通过Spearman相关性分析和χ²检验比较两种采样方法PAX1 /JAM3 检测结果的一致性。通过计算受试者操作特征曲线（ROC）和曲线下面积（AUC）比较女性自采样本甲基化检测与现行临床检测及其组合方法在临床研究中用于子宫颈癌筛查的效益。 结果 在所有招募的受试者中，正常子宫颈组织或慢性子宫颈炎102例（37.5%）、子宫颈上皮内瘤变1级（CIN1）72例（26.4%）、CIN2 43例（15.8%）、CIN3 29例（10.7%）、子宫颈癌26例（9.6%）。按最低检出量公式计算区分成为81例一致性研究组和191例临床研究组。Spearman相关性分析表明，自采样本和医生采样样本进行PAX1和JAM3双基因甲基化检测结果的卡氏评分呈正相关（ =0.858、0.828， 均&lt;0.001）；自采样本在临床研究中结果显示PAX1 /JAM3 检测诊断CIN2或更严重病变（CIN2+）的敏感度和特异度分别为77.6%（ 65.3%~86.4%）和87.2%（95% 80.5%~91.9%），PAX1 /JAM3 联合人乳头瘤病毒16/18型（HPV16/18）检测的敏感度与高危人乳头瘤病毒（hrHPV）检测相同为89.7%（95% 79.2%~95.2%）；在CIN3+时为96.0%（95% 80.4%~99.3%），优于hrHPV的92.0%（95% 75.0%~97.8%）、细胞学的82.6%（95% 62.9%~93.0%）及sPAX1 /JAM3 联合细胞学检测低度及以上鳞状上皮内病变（LBC ）［87.0%（95% 67.9%~95.5%）］。 结论 女性自采样本进行PAX1与JAM3双基因甲基化检测作为子宫颈癌筛查具有操作与临床可行性。","citation-key":"YuFuRongNuXingYinDaoZiCaiYangBenJianCePAX1JAM3ShuangJiYinJiaJiHuaBiaoZhiWuZuoWeiZiGongJingAiShaiChaDeKeXingXingPingGu2024","container-title":"中华检验医学杂志","DOI":"10.3760/cma.j.cn114452-20240109-00016","ISSN":"1009-9158","issue":"4","journalAbbreviation":"中华检验医学杂志","language":"zh","license":"© 2022《中华医学杂志》社有限责任公司版权所有","note":"original-title: Feasibility Evaluation of using PAX1/JAM3 methylation markers as cervical cancer screening for female self-collected samples\noriginal-creator:  Yu  Furong   \noriginal-creator:  Ma  Jiezhi   \noriginal-creator:  Zhou  Xi   \noriginal-creator:  Li  Genlin   \noriginal-creator:  Peng  Jiaqi   \noriginal-creator:  Li  Ping   \noriginal-creator:  Zeng  Fei   \noriginal-creator:  Xie  Xiaobing   \noriginal-creator:  Dong  Weilei   \nview: 474\ndownload: 84\ncomment: 0\nlike: 0\ncollect: 3\nshare: 1","page":"419-427","publisher":"《中华医学杂志》社有限责任公司","source":"rs.yiigle.com","title":"女性阴道自采样本检测PAX1/JAM3双基因甲基化标志物作为子宫颈癌筛查的可行性评估","volume":"47","author":[{"literal":"余芙蓉"},{"literal":"马洁稚"},{"literal":"周希"},{"literal":"李根林"},{"literal":"彭嘉琪"},{"literal":"李萍"},{"literal":"曾飞"},{"literal":"谢小兵"},{"literal":"董巍檑"}],"issued":{"date-parts":[["2024",4,19]]}}}],"schema":"https://github.com/citation-style-language/schema/raw/master/csl-citation.json"} </w:instrText>
            </w:r>
            <w:r>
              <w:rPr>
                <w:rFonts w:hint="eastAsia" w:ascii="宋体" w:hAnsi="宋体" w:eastAsia="宋体" w:cs="宋体"/>
                <w:i w:val="0"/>
                <w:iCs w:val="0"/>
                <w:color w:val="000000"/>
                <w:sz w:val="22"/>
                <w:szCs w:val="22"/>
                <w:u w:val="none"/>
              </w:rPr>
              <w:fldChar w:fldCharType="separate"/>
            </w:r>
            <w:r>
              <w:rPr>
                <w:rFonts w:hint="default" w:ascii="Calibri" w:hAnsi="Calibri" w:eastAsia="宋体" w:cs="Calibri"/>
                <w:sz w:val="22"/>
                <w:lang w:eastAsia="zh-CN"/>
              </w:rPr>
              <w:t>[1]</w:t>
            </w:r>
            <w:r>
              <w:rPr>
                <w:rFonts w:hint="eastAsia" w:ascii="宋体" w:hAnsi="宋体" w:eastAsia="宋体" w:cs="宋体"/>
                <w:i w:val="0"/>
                <w:iCs w:val="0"/>
                <w:color w:val="000000"/>
                <w:sz w:val="22"/>
                <w:szCs w:val="22"/>
                <w:u w:val="none"/>
              </w:rPr>
              <w:fldChar w:fldCharType="end"/>
            </w:r>
          </w:p>
        </w:tc>
      </w:tr>
      <w:tr w14:paraId="24856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82" w:type="pct"/>
            <w:tcBorders>
              <w:top w:val="nil"/>
              <w:left w:val="nil"/>
              <w:bottom w:val="nil"/>
              <w:right w:val="nil"/>
            </w:tcBorders>
            <w:shd w:val="clear"/>
            <w:noWrap/>
            <w:vAlign w:val="center"/>
          </w:tcPr>
          <w:p w14:paraId="383CB54D">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Peng (2025)</w:t>
            </w:r>
          </w:p>
        </w:tc>
        <w:tc>
          <w:tcPr>
            <w:tcW w:w="482" w:type="pct"/>
            <w:tcBorders>
              <w:top w:val="nil"/>
              <w:left w:val="nil"/>
              <w:bottom w:val="nil"/>
              <w:right w:val="nil"/>
            </w:tcBorders>
            <w:shd w:val="clear"/>
            <w:noWrap/>
            <w:vAlign w:val="center"/>
          </w:tcPr>
          <w:p w14:paraId="7E266525">
            <w:pPr>
              <w:keepNext w:val="0"/>
              <w:keepLines w:val="0"/>
              <w:widowControl/>
              <w:suppressLineNumbers w:val="0"/>
              <w:jc w:val="right"/>
              <w:textAlignment w:val="center"/>
              <w:rPr>
                <w:rFonts w:hint="default"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428</w:t>
            </w:r>
          </w:p>
        </w:tc>
        <w:tc>
          <w:tcPr>
            <w:tcW w:w="1165" w:type="pct"/>
            <w:tcBorders>
              <w:top w:val="nil"/>
              <w:left w:val="nil"/>
              <w:bottom w:val="nil"/>
              <w:right w:val="nil"/>
            </w:tcBorders>
            <w:shd w:val="clear"/>
            <w:noWrap/>
            <w:vAlign w:val="center"/>
          </w:tcPr>
          <w:p w14:paraId="733F1030">
            <w:pPr>
              <w:keepNext w:val="0"/>
              <w:keepLines w:val="0"/>
              <w:widowControl/>
              <w:suppressLineNumbers w:val="0"/>
              <w:jc w:val="left"/>
              <w:textAlignment w:val="center"/>
              <w:rPr>
                <w:rFonts w:hint="default" w:ascii="Arial" w:hAnsi="Arial" w:eastAsia="宋体" w:cs="Arial"/>
                <w:i w:val="0"/>
                <w:iCs w:val="0"/>
                <w:color w:val="303030"/>
                <w:kern w:val="0"/>
                <w:sz w:val="21"/>
                <w:szCs w:val="21"/>
                <w:u w:val="none"/>
                <w:bdr w:val="none" w:color="auto" w:sz="0" w:space="0"/>
                <w:lang w:val="en-US" w:eastAsia="zh-CN" w:bidi="ar"/>
              </w:rPr>
            </w:pPr>
            <w:r>
              <w:rPr>
                <w:rFonts w:hint="default" w:ascii="Arial" w:hAnsi="Arial" w:eastAsia="宋体" w:cs="Arial"/>
                <w:i w:val="0"/>
                <w:iCs w:val="0"/>
                <w:color w:val="303030"/>
                <w:kern w:val="0"/>
                <w:sz w:val="21"/>
                <w:szCs w:val="21"/>
                <w:u w:val="none"/>
                <w:bdr w:val="none" w:color="auto" w:sz="0" w:space="0"/>
                <w:lang w:val="en-US" w:eastAsia="zh-CN" w:bidi="ar"/>
              </w:rPr>
              <w:t>women aged ≥50 years</w:t>
            </w:r>
          </w:p>
        </w:tc>
        <w:tc>
          <w:tcPr>
            <w:tcW w:w="485" w:type="pct"/>
            <w:tcBorders>
              <w:top w:val="nil"/>
              <w:left w:val="nil"/>
              <w:bottom w:val="nil"/>
              <w:right w:val="nil"/>
            </w:tcBorders>
            <w:shd w:val="clear"/>
            <w:noWrap/>
            <w:vAlign w:val="center"/>
          </w:tcPr>
          <w:p w14:paraId="1EFAFF4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default" w:ascii="Arial" w:hAnsi="Arial" w:eastAsia="宋体" w:cs="Arial"/>
                <w:i w:val="0"/>
                <w:iCs w:val="0"/>
                <w:color w:val="303030"/>
                <w:kern w:val="0"/>
                <w:sz w:val="21"/>
                <w:szCs w:val="21"/>
                <w:u w:val="none"/>
                <w:lang w:val="en-US" w:eastAsia="zh-CN" w:bidi="ar"/>
              </w:rPr>
              <w:t>CIN2+</w:t>
            </w:r>
          </w:p>
        </w:tc>
        <w:tc>
          <w:tcPr>
            <w:tcW w:w="723" w:type="pct"/>
            <w:tcBorders>
              <w:top w:val="nil"/>
              <w:left w:val="nil"/>
              <w:bottom w:val="nil"/>
              <w:right w:val="nil"/>
            </w:tcBorders>
            <w:shd w:val="clear"/>
            <w:noWrap/>
            <w:vAlign w:val="center"/>
          </w:tcPr>
          <w:p w14:paraId="3A2E1EF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0.934 [0.878–0.989]</w:t>
            </w:r>
          </w:p>
        </w:tc>
        <w:tc>
          <w:tcPr>
            <w:tcW w:w="591" w:type="pct"/>
            <w:tcBorders>
              <w:top w:val="nil"/>
              <w:left w:val="nil"/>
              <w:bottom w:val="nil"/>
              <w:right w:val="nil"/>
            </w:tcBorders>
            <w:shd w:val="clear"/>
            <w:noWrap/>
            <w:vAlign w:val="center"/>
          </w:tcPr>
          <w:p w14:paraId="3A59728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93.2 [85.7–100]</w:t>
            </w:r>
          </w:p>
        </w:tc>
        <w:tc>
          <w:tcPr>
            <w:tcW w:w="624" w:type="pct"/>
            <w:tcBorders>
              <w:top w:val="nil"/>
              <w:left w:val="nil"/>
              <w:bottom w:val="nil"/>
              <w:right w:val="nil"/>
            </w:tcBorders>
            <w:shd w:val="clear"/>
            <w:noWrap/>
            <w:vAlign w:val="center"/>
          </w:tcPr>
          <w:p w14:paraId="09972E1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93.6 [89.9–97.3]</w:t>
            </w:r>
          </w:p>
        </w:tc>
        <w:tc>
          <w:tcPr>
            <w:tcW w:w="444" w:type="pct"/>
            <w:tcBorders>
              <w:top w:val="nil"/>
              <w:left w:val="nil"/>
              <w:bottom w:val="nil"/>
              <w:right w:val="nil"/>
            </w:tcBorders>
            <w:shd w:val="clear"/>
            <w:noWrap/>
            <w:vAlign w:val="center"/>
          </w:tcPr>
          <w:p w14:paraId="19522E0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fldChar w:fldCharType="begin"/>
            </w:r>
            <w:r>
              <w:rPr>
                <w:rFonts w:hint="eastAsia" w:ascii="宋体" w:hAnsi="宋体" w:eastAsia="宋体" w:cs="宋体"/>
                <w:i w:val="0"/>
                <w:iCs w:val="0"/>
                <w:color w:val="000000"/>
                <w:kern w:val="0"/>
                <w:sz w:val="22"/>
                <w:szCs w:val="22"/>
                <w:u w:val="none"/>
                <w:bdr w:val="none" w:color="auto" w:sz="0" w:space="0"/>
                <w:lang w:val="en-US" w:eastAsia="zh-CN" w:bidi="ar"/>
              </w:rPr>
              <w:instrText xml:space="preserve"> ADDIN ZOTERO_ITEM CSL_CITATION {"citationID":"f5g6aGWH","properties":{"unsorted":false,"formattedCitation":"[2]","plainCitation":"[2]","noteIndex":0},"citationItems":[{"id":3804,"uris":["http://zotero.org/users/6238681/items/ZQ84EIL2"],"itemData":{"id":3804,"type":"article-journal","abstract":"This study aimed to assess the diagnostic-support and triage value of PAX1/JAM3 methylation testing for identifying high-grade cervical lesions among postmenopausal women referred for colposcopy. A total of 216 women aged ≥50 years who underwent colposcopy due to positive high-risk human papillomavirus (hrHPV)/cytology detection and/or abnormal clinical symptoms were included, and 212 women aged &lt;50 years matched 1:1 by hrHPV and cytology results as the control group. The effectiveness of PAX1/JAM3 methylation in detecting high-grade cervical intraepithelial neoplasia (CIN) was compared to traditional screening methods. PAX1/JAM3 methylation showed a sensitivity of 93.2%[85.7%-100%] for detecting CIN2+ lesions (97.2%[91.9%-100%] for CIN3+), with a specificity of 93.6%[89.9%-97.3%] for CIN1-lesions, outperforming liquid-based cytology (LBC) (CIN2+/CIN3+ sensitivity: 75%[60.9%-89.1%]; specificity: 52.3%[44.9%-59.8%]) and the combination of LBC and hrHPV tests according to current guidelines (CIN2+/CIN3+ sensitivity: 81.8%[70.4%-93.2%]/83.3%[71.2%-95.5%]; specificity: 45.3%[37.9%-52.8%]). Methylation detection successfully identified two adenocarcinoma cases with negative hrHPV and LBC, as well as 7 patients with non-16/18 hrHPV infection that were missed by LBC. The methylation levels of PAX1 and JAM3 were elevated in elderly women with CIN2+ compared to younger women, and showed no association with HPV types. In conclusion, PAX1/JAM3 methylation testing showed promising diagnostic-support performance among postmenopausal women referred for colposcopy, suggesting potential utility as a supplementary detection method to improve diagnostic accuracy in older women.","citation-key":"pengEnhancedDiagnosticAccuracy2026","container-title":"International Journal of Cancer","DOI":"10.1002/ijc.70245","ISSN":"1097-0215","issue":"4","journalAbbreviation":"Int J Cancer","language":"en-US","page":"1116-1125","PMID":"41239544","PMCID":"PMC12712368","source":"PubMed","title":"Enhanced diagnostic accuracy of high-grade cervical intraepithelial neoplasia in postmenopausal women through PAX1/JAM3 methylation analysis","volume":"158","author":[{"family":"Peng","given":"Huanzi"},{"family":"Li","given":"Jing"},{"family":"Zhou","given":"Qun"},{"family":"Zhou","given":"Hui"},{"family":"Peng","given":"Jiaqi"},{"family":"Wang","given":"Jing"},{"family":"Liu","given":"Pei"},{"family":"He","given":"Kun"},{"family":"Liu","given":"Wene"},{"family":"Tan","given":"Ping"},{"family":"Li","given":"Lei"},{"family":"Xie","given":"Xiaobing"}],"issued":{"date-parts":[["2026",2,15]]}}}],"schema":"https://github.com/citation-style-language/schema/raw/master/csl-citation.json"} </w:instrText>
            </w:r>
            <w:r>
              <w:rPr>
                <w:rFonts w:hint="eastAsia" w:ascii="宋体" w:hAnsi="宋体" w:eastAsia="宋体" w:cs="宋体"/>
                <w:i w:val="0"/>
                <w:iCs w:val="0"/>
                <w:color w:val="000000"/>
                <w:kern w:val="0"/>
                <w:sz w:val="22"/>
                <w:szCs w:val="22"/>
                <w:u w:val="none"/>
                <w:bdr w:val="none" w:color="auto" w:sz="0" w:space="0"/>
                <w:lang w:val="en-US" w:eastAsia="zh-CN" w:bidi="ar"/>
              </w:rPr>
              <w:fldChar w:fldCharType="separate"/>
            </w:r>
            <w:r>
              <w:rPr>
                <w:rFonts w:hint="default" w:ascii="Calibri" w:hAnsi="Calibri" w:eastAsia="宋体" w:cs="Calibri"/>
                <w:sz w:val="22"/>
                <w:lang w:eastAsia="zh-CN"/>
              </w:rPr>
              <w:t>[2]</w:t>
            </w:r>
            <w:r>
              <w:rPr>
                <w:rFonts w:hint="eastAsia" w:ascii="宋体" w:hAnsi="宋体" w:eastAsia="宋体" w:cs="宋体"/>
                <w:i w:val="0"/>
                <w:iCs w:val="0"/>
                <w:color w:val="000000"/>
                <w:kern w:val="0"/>
                <w:sz w:val="22"/>
                <w:szCs w:val="22"/>
                <w:u w:val="none"/>
                <w:bdr w:val="none" w:color="auto" w:sz="0" w:space="0"/>
                <w:lang w:val="en-US" w:eastAsia="zh-CN" w:bidi="ar"/>
              </w:rPr>
              <w:fldChar w:fldCharType="end"/>
            </w:r>
          </w:p>
        </w:tc>
      </w:tr>
      <w:tr w14:paraId="72423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82" w:type="pct"/>
            <w:tcBorders>
              <w:top w:val="nil"/>
              <w:left w:val="nil"/>
              <w:bottom w:val="nil"/>
              <w:right w:val="nil"/>
            </w:tcBorders>
            <w:shd w:val="clear"/>
            <w:noWrap/>
            <w:vAlign w:val="center"/>
          </w:tcPr>
          <w:p w14:paraId="0CE3DEC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lang w:val="en-US" w:eastAsia="zh-CN" w:bidi="ar"/>
              </w:rPr>
              <w:t>Peng (2025)</w:t>
            </w:r>
          </w:p>
        </w:tc>
        <w:tc>
          <w:tcPr>
            <w:tcW w:w="482" w:type="pct"/>
            <w:tcBorders>
              <w:top w:val="nil"/>
              <w:left w:val="nil"/>
              <w:bottom w:val="nil"/>
              <w:right w:val="nil"/>
            </w:tcBorders>
            <w:shd w:val="clear"/>
            <w:noWrap/>
            <w:vAlign w:val="center"/>
          </w:tcPr>
          <w:p w14:paraId="556A27C0">
            <w:pPr>
              <w:keepNext w:val="0"/>
              <w:keepLines w:val="0"/>
              <w:widowControl/>
              <w:suppressLineNumbers w:val="0"/>
              <w:jc w:val="right"/>
              <w:textAlignment w:val="center"/>
              <w:rPr>
                <w:rFonts w:hint="default"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428</w:t>
            </w:r>
          </w:p>
        </w:tc>
        <w:tc>
          <w:tcPr>
            <w:tcW w:w="1165" w:type="pct"/>
            <w:tcBorders>
              <w:top w:val="nil"/>
              <w:left w:val="nil"/>
              <w:bottom w:val="nil"/>
              <w:right w:val="nil"/>
            </w:tcBorders>
            <w:shd w:val="clear"/>
            <w:noWrap/>
            <w:vAlign w:val="center"/>
          </w:tcPr>
          <w:p w14:paraId="5003921D">
            <w:pPr>
              <w:keepNext w:val="0"/>
              <w:keepLines w:val="0"/>
              <w:widowControl/>
              <w:suppressLineNumbers w:val="0"/>
              <w:jc w:val="left"/>
              <w:textAlignment w:val="center"/>
              <w:rPr>
                <w:rFonts w:hint="default" w:ascii="Arial" w:hAnsi="Arial" w:eastAsia="宋体" w:cs="Arial"/>
                <w:i w:val="0"/>
                <w:iCs w:val="0"/>
                <w:color w:val="303030"/>
                <w:kern w:val="0"/>
                <w:sz w:val="21"/>
                <w:szCs w:val="21"/>
                <w:u w:val="none"/>
                <w:bdr w:val="none" w:color="auto" w:sz="0" w:space="0"/>
                <w:lang w:val="en-US" w:eastAsia="zh-CN" w:bidi="ar"/>
              </w:rPr>
            </w:pPr>
            <w:r>
              <w:rPr>
                <w:rFonts w:hint="default" w:ascii="Arial" w:hAnsi="Arial" w:eastAsia="宋体" w:cs="Arial"/>
                <w:i w:val="0"/>
                <w:iCs w:val="0"/>
                <w:color w:val="303030"/>
                <w:kern w:val="0"/>
                <w:sz w:val="21"/>
                <w:szCs w:val="21"/>
                <w:u w:val="none"/>
                <w:lang w:val="en-US" w:eastAsia="zh-CN" w:bidi="ar"/>
              </w:rPr>
              <w:t>women aged ≥50 years</w:t>
            </w:r>
          </w:p>
        </w:tc>
        <w:tc>
          <w:tcPr>
            <w:tcW w:w="485" w:type="pct"/>
            <w:tcBorders>
              <w:top w:val="nil"/>
              <w:left w:val="nil"/>
              <w:bottom w:val="nil"/>
              <w:right w:val="nil"/>
            </w:tcBorders>
            <w:shd w:val="clear"/>
            <w:noWrap/>
            <w:vAlign w:val="center"/>
          </w:tcPr>
          <w:p w14:paraId="0A71BB5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lang w:val="en-US" w:eastAsia="zh-CN" w:bidi="ar"/>
              </w:rPr>
              <w:t>CIN3+</w:t>
            </w:r>
          </w:p>
        </w:tc>
        <w:tc>
          <w:tcPr>
            <w:tcW w:w="723" w:type="pct"/>
            <w:tcBorders>
              <w:top w:val="nil"/>
              <w:left w:val="nil"/>
              <w:bottom w:val="nil"/>
              <w:right w:val="nil"/>
            </w:tcBorders>
            <w:shd w:val="clear"/>
            <w:noWrap/>
            <w:vAlign w:val="center"/>
          </w:tcPr>
          <w:p w14:paraId="288ED397">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0.939 [0.891–0.987]</w:t>
            </w:r>
          </w:p>
        </w:tc>
        <w:tc>
          <w:tcPr>
            <w:tcW w:w="591" w:type="pct"/>
            <w:tcBorders>
              <w:top w:val="nil"/>
              <w:left w:val="nil"/>
              <w:bottom w:val="nil"/>
              <w:right w:val="nil"/>
            </w:tcBorders>
            <w:shd w:val="clear"/>
            <w:noWrap/>
            <w:vAlign w:val="center"/>
          </w:tcPr>
          <w:p w14:paraId="45C496E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97.2 [91.9–100]</w:t>
            </w:r>
          </w:p>
        </w:tc>
        <w:tc>
          <w:tcPr>
            <w:tcW w:w="624" w:type="pct"/>
            <w:tcBorders>
              <w:top w:val="nil"/>
              <w:left w:val="nil"/>
              <w:bottom w:val="nil"/>
              <w:right w:val="nil"/>
            </w:tcBorders>
            <w:shd w:val="clear"/>
            <w:noWrap/>
            <w:vAlign w:val="center"/>
          </w:tcPr>
          <w:p w14:paraId="09671AF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90.6 [86.3–94.8]</w:t>
            </w:r>
          </w:p>
        </w:tc>
        <w:tc>
          <w:tcPr>
            <w:tcW w:w="444" w:type="pct"/>
            <w:tcBorders>
              <w:top w:val="nil"/>
              <w:left w:val="nil"/>
              <w:bottom w:val="nil"/>
              <w:right w:val="nil"/>
            </w:tcBorders>
            <w:shd w:val="clear"/>
            <w:noWrap/>
            <w:vAlign w:val="center"/>
          </w:tcPr>
          <w:p w14:paraId="17FB37C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lang w:val="en-US" w:eastAsia="zh-CN" w:bidi="ar"/>
              </w:rPr>
              <w:fldChar w:fldCharType="begin"/>
            </w:r>
            <w:r>
              <w:rPr>
                <w:rFonts w:hint="eastAsia" w:ascii="宋体" w:hAnsi="宋体" w:eastAsia="宋体" w:cs="宋体"/>
                <w:i w:val="0"/>
                <w:iCs w:val="0"/>
                <w:color w:val="000000"/>
                <w:kern w:val="0"/>
                <w:sz w:val="22"/>
                <w:szCs w:val="22"/>
                <w:u w:val="none"/>
                <w:lang w:val="en-US" w:eastAsia="zh-CN" w:bidi="ar"/>
              </w:rPr>
              <w:instrText xml:space="preserve"> ADDIN ZOTERO_ITEM CSL_CITATION {"citationID":"kyoeOewx","properties":{"unsorted":false,"formattedCitation":"[2]","plainCitation":"[2]","noteIndex":0},"citationItems":[{"id":3804,"uris":["http://zotero.org/users/6238681/items/ZQ84EIL2"],"itemData":{"id":3804,"type":"article-journal","abstract":"This study aimed to assess the diagnostic-support and triage value of PAX1/JAM3 methylation testing for identifying high-grade cervical lesions among postmenopausal women referred for colposcopy. A total of 216 women aged ≥50 years who underwent colposcopy due to positive high-risk human papillomavirus (hrHPV)/cytology detection and/or abnormal clinical symptoms were included, and 212 women aged &lt;50 years matched 1:1 by hrHPV and cytology results as the control group. The effectiveness of PAX1/JAM3 methylation in detecting high-grade cervical intraepithelial neoplasia (CIN) was compared to traditional screening methods. PAX1/JAM3 methylation showed a sensitivity of 93.2%[85.7%-100%] for detecting CIN2+ lesions (97.2%[91.9%-100%] for CIN3+), with a specificity of 93.6%[89.9%-97.3%] for CIN1-lesions, outperforming liquid-based cytology (LBC) (CIN2+/CIN3+ sensitivity: 75%[60.9%-89.1%]; specificity: 52.3%[44.9%-59.8%]) and the combination of LBC and hrHPV tests according to current guidelines (CIN2+/CIN3+ sensitivity: 81.8%[70.4%-93.2%]/83.3%[71.2%-95.5%]; specificity: 45.3%[37.9%-52.8%]). Methylation detection successfully identified two adenocarcinoma cases with negative hrHPV and LBC, as well as 7 patients with non-16/18 hrHPV infection that were missed by LBC. The methylation levels of PAX1 and JAM3 were elevated in elderly women with CIN2+ compared to younger women, and showed no association with HPV types. In conclusion, PAX1/JAM3 methylation testing showed promising diagnostic-support performance among postmenopausal women referred for colposcopy, suggesting potential utility as a supplementary detection method to improve diagnostic accuracy in older women.","citation-key":"pengEnhancedDiagnosticAccuracy2026","container-title":"International Journal of Cancer","DOI":"10.1002/ijc.70245","ISSN":"1097-0215","issue":"4","journalAbbreviation":"Int J Cancer","language":"en-US","page":"1116-1125","PMID":"41239544","PMCID":"PMC12712368","source":"PubMed","title":"Enhanced diagnostic accuracy of high-grade cervical intraepithelial neoplasia in postmenopausal women through PAX1/JAM3 methylation analysis","volume":"158","author":[{"family":"Peng","given":"Huanzi"},{"family":"Li","given":"Jing"},{"family":"Zhou","given":"Qun"},{"family":"Zhou","given":"Hui"},{"family":"Peng","given":"Jiaqi"},{"family":"Wang","given":"Jing"},{"family":"Liu","given":"Pei"},{"family":"He","given":"Kun"},{"family":"Liu","given":"Wene"},{"family":"Tan","given":"Ping"},{"family":"Li","given":"Lei"},{"family":"Xie","given":"Xiaobing"}],"issued":{"date-parts":[["2026",2,15]]}}}],"schema":"https://github.com/citation-style-language/schema/raw/master/csl-citation.json"} </w:instrText>
            </w:r>
            <w:r>
              <w:rPr>
                <w:rFonts w:hint="eastAsia" w:ascii="宋体" w:hAnsi="宋体" w:eastAsia="宋体" w:cs="宋体"/>
                <w:i w:val="0"/>
                <w:iCs w:val="0"/>
                <w:color w:val="000000"/>
                <w:kern w:val="0"/>
                <w:sz w:val="22"/>
                <w:szCs w:val="22"/>
                <w:u w:val="none"/>
                <w:lang w:val="en-US" w:eastAsia="zh-CN" w:bidi="ar"/>
              </w:rPr>
              <w:fldChar w:fldCharType="separate"/>
            </w:r>
            <w:r>
              <w:rPr>
                <w:rFonts w:hint="default" w:ascii="Calibri" w:hAnsi="Calibri" w:eastAsia="宋体" w:cs="Calibri"/>
                <w:sz w:val="22"/>
                <w:lang w:eastAsia="zh-CN"/>
              </w:rPr>
              <w:t>[2]</w:t>
            </w:r>
            <w:r>
              <w:rPr>
                <w:rFonts w:hint="eastAsia" w:ascii="宋体" w:hAnsi="宋体" w:eastAsia="宋体" w:cs="宋体"/>
                <w:i w:val="0"/>
                <w:iCs w:val="0"/>
                <w:color w:val="000000"/>
                <w:kern w:val="0"/>
                <w:sz w:val="22"/>
                <w:szCs w:val="22"/>
                <w:u w:val="none"/>
                <w:lang w:val="en-US" w:eastAsia="zh-CN" w:bidi="ar"/>
              </w:rPr>
              <w:fldChar w:fldCharType="end"/>
            </w:r>
          </w:p>
        </w:tc>
      </w:tr>
      <w:tr w14:paraId="4BBEA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82" w:type="pct"/>
            <w:tcBorders>
              <w:top w:val="nil"/>
              <w:left w:val="nil"/>
              <w:bottom w:val="nil"/>
              <w:right w:val="nil"/>
            </w:tcBorders>
            <w:shd w:val="clear"/>
            <w:noWrap/>
            <w:vAlign w:val="center"/>
          </w:tcPr>
          <w:p w14:paraId="20F3004E">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Luo (2026)</w:t>
            </w:r>
          </w:p>
        </w:tc>
        <w:tc>
          <w:tcPr>
            <w:tcW w:w="482" w:type="pct"/>
            <w:tcBorders>
              <w:top w:val="nil"/>
              <w:left w:val="nil"/>
              <w:bottom w:val="nil"/>
              <w:right w:val="nil"/>
            </w:tcBorders>
            <w:shd w:val="clear"/>
            <w:noWrap/>
            <w:vAlign w:val="center"/>
          </w:tcPr>
          <w:p w14:paraId="6F1B8F79">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264</w:t>
            </w:r>
          </w:p>
        </w:tc>
        <w:tc>
          <w:tcPr>
            <w:tcW w:w="1165" w:type="pct"/>
            <w:tcBorders>
              <w:top w:val="nil"/>
              <w:left w:val="nil"/>
              <w:bottom w:val="nil"/>
              <w:right w:val="nil"/>
            </w:tcBorders>
            <w:shd w:val="clear"/>
            <w:noWrap/>
            <w:vAlign w:val="center"/>
          </w:tcPr>
          <w:p w14:paraId="0C424B78">
            <w:pPr>
              <w:keepNext w:val="0"/>
              <w:keepLines w:val="0"/>
              <w:widowControl/>
              <w:suppressLineNumbers w:val="0"/>
              <w:jc w:val="left"/>
              <w:textAlignment w:val="center"/>
              <w:rPr>
                <w:rFonts w:hint="default" w:ascii="Arial" w:hAnsi="Arial" w:eastAsia="宋体" w:cs="Arial"/>
                <w:i w:val="0"/>
                <w:iCs w:val="0"/>
                <w:color w:val="303030"/>
                <w:kern w:val="0"/>
                <w:sz w:val="21"/>
                <w:szCs w:val="21"/>
                <w:u w:val="none"/>
                <w:lang w:val="en-US" w:eastAsia="zh-CN" w:bidi="ar"/>
              </w:rPr>
            </w:pPr>
            <w:r>
              <w:rPr>
                <w:rFonts w:hint="default" w:ascii="Arial" w:hAnsi="Arial" w:eastAsia="宋体" w:cs="Arial"/>
                <w:i w:val="0"/>
                <w:iCs w:val="0"/>
                <w:color w:val="303030"/>
                <w:kern w:val="0"/>
                <w:sz w:val="21"/>
                <w:szCs w:val="21"/>
                <w:u w:val="none"/>
                <w:lang w:val="en-US" w:eastAsia="zh-CN" w:bidi="ar"/>
              </w:rPr>
              <w:t>Women referred for colposcopy</w:t>
            </w:r>
          </w:p>
        </w:tc>
        <w:tc>
          <w:tcPr>
            <w:tcW w:w="485" w:type="pct"/>
            <w:tcBorders>
              <w:top w:val="nil"/>
              <w:left w:val="nil"/>
              <w:bottom w:val="nil"/>
              <w:right w:val="nil"/>
            </w:tcBorders>
            <w:shd w:val="clear"/>
            <w:noWrap/>
            <w:vAlign w:val="center"/>
          </w:tcPr>
          <w:p w14:paraId="77B3DDB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default" w:ascii="Arial" w:hAnsi="Arial" w:eastAsia="宋体" w:cs="Arial"/>
                <w:i w:val="0"/>
                <w:iCs w:val="0"/>
                <w:color w:val="303030"/>
                <w:kern w:val="0"/>
                <w:sz w:val="21"/>
                <w:szCs w:val="21"/>
                <w:u w:val="none"/>
                <w:lang w:val="en-US" w:eastAsia="zh-CN" w:bidi="ar"/>
              </w:rPr>
              <w:t>CIN2+</w:t>
            </w:r>
          </w:p>
        </w:tc>
        <w:tc>
          <w:tcPr>
            <w:tcW w:w="723" w:type="pct"/>
            <w:tcBorders>
              <w:top w:val="nil"/>
              <w:left w:val="nil"/>
              <w:bottom w:val="nil"/>
              <w:right w:val="nil"/>
            </w:tcBorders>
            <w:shd w:val="clear"/>
            <w:noWrap/>
            <w:vAlign w:val="center"/>
          </w:tcPr>
          <w:p w14:paraId="7E8A812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0.826</w:t>
            </w:r>
          </w:p>
        </w:tc>
        <w:tc>
          <w:tcPr>
            <w:tcW w:w="591" w:type="pct"/>
            <w:tcBorders>
              <w:top w:val="nil"/>
              <w:left w:val="nil"/>
              <w:bottom w:val="nil"/>
              <w:right w:val="nil"/>
            </w:tcBorders>
            <w:shd w:val="clear"/>
            <w:noWrap/>
            <w:vAlign w:val="center"/>
          </w:tcPr>
          <w:p w14:paraId="4459ADC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76.1 [66.1-86]</w:t>
            </w:r>
          </w:p>
        </w:tc>
        <w:tc>
          <w:tcPr>
            <w:tcW w:w="624" w:type="pct"/>
            <w:tcBorders>
              <w:top w:val="nil"/>
              <w:left w:val="nil"/>
              <w:bottom w:val="nil"/>
              <w:right w:val="nil"/>
            </w:tcBorders>
            <w:shd w:val="clear"/>
            <w:noWrap/>
            <w:vAlign w:val="center"/>
          </w:tcPr>
          <w:p w14:paraId="36E3F62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89.1 [84.7-93.5]</w:t>
            </w:r>
          </w:p>
        </w:tc>
        <w:tc>
          <w:tcPr>
            <w:tcW w:w="444" w:type="pct"/>
            <w:tcBorders>
              <w:top w:val="nil"/>
              <w:left w:val="nil"/>
              <w:bottom w:val="nil"/>
              <w:right w:val="nil"/>
            </w:tcBorders>
            <w:shd w:val="clear"/>
            <w:noWrap/>
            <w:vAlign w:val="center"/>
          </w:tcPr>
          <w:p w14:paraId="54C82E8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fldChar w:fldCharType="begin"/>
            </w:r>
            <w:r>
              <w:rPr>
                <w:rFonts w:hint="eastAsia" w:ascii="宋体" w:hAnsi="宋体" w:eastAsia="宋体" w:cs="宋体"/>
                <w:i w:val="0"/>
                <w:iCs w:val="0"/>
                <w:color w:val="000000"/>
                <w:kern w:val="0"/>
                <w:sz w:val="22"/>
                <w:szCs w:val="22"/>
                <w:u w:val="none"/>
                <w:lang w:val="en-US" w:eastAsia="zh-CN" w:bidi="ar"/>
              </w:rPr>
              <w:instrText xml:space="preserve"> ADDIN ZOTERO_ITEM CSL_CITATION {"citationID":"JSRDczHz","properties":{"unsorted":false,"formattedCitation":"[3]","plainCitation":"[3]","noteIndex":0},"citationItems":[{"id":3797,"uris":["http://zotero.org/users/6238681/items/5JWW2HKM"],"itemData":{"id":3797,"type":"article-journal","abstract":"This prospective single-center study aimed to investigate the clinical correlation between PAX1/JAM3 methylation (CISCER) assay and clinically evaluated vaginal microecological features in women referred for colposcopy, and to assess the potential complementary diagnostic value for detecting high-grade cervical lesions.","citation-key":"luoPAX1JAM3Methylation2026","container-title":"BMC Women's Health","DOI":"10.1186/s12905-026-04285-6","ISSN":"1472-6874","journalAbbreviation":"BMC Women's Health","language":"en","source":"Springer Link","title":"PAX1/JAM3 methylation in cervical exfoliated cells: a robust diagnostic biomarker for cervical high-grade lesions associated with vaginal dysbiosis","title-short":"PAX1/JAM3 methylation in cervical exfoliated cells","URL":"https://doi.org/10.1186/s12905-026-04285-6","author":[{"family":"Luo","given":"Lianmei"},{"family":"Wang","given":"Lanruo"},{"family":"Liu","given":"Zhiying"},{"family":"Cai","given":"Youqin"},{"family":"Zhang","given":"Jun"}],"accessed":{"date-parts":[["2026",2,2]]},"issued":{"date-parts":[["2026",1,22]]}}}],"schema":"https://github.com/citation-style-language/schema/raw/master/csl-citation.json"} </w:instrText>
            </w:r>
            <w:r>
              <w:rPr>
                <w:rFonts w:hint="eastAsia" w:ascii="宋体" w:hAnsi="宋体" w:eastAsia="宋体" w:cs="宋体"/>
                <w:i w:val="0"/>
                <w:iCs w:val="0"/>
                <w:color w:val="000000"/>
                <w:kern w:val="0"/>
                <w:sz w:val="22"/>
                <w:szCs w:val="22"/>
                <w:u w:val="none"/>
                <w:lang w:val="en-US" w:eastAsia="zh-CN" w:bidi="ar"/>
              </w:rPr>
              <w:fldChar w:fldCharType="separate"/>
            </w:r>
            <w:r>
              <w:rPr>
                <w:rFonts w:hint="default" w:ascii="Calibri" w:hAnsi="Calibri" w:eastAsia="宋体" w:cs="Calibri"/>
                <w:sz w:val="22"/>
                <w:lang w:eastAsia="zh-CN"/>
              </w:rPr>
              <w:t>[3]</w:t>
            </w:r>
            <w:r>
              <w:rPr>
                <w:rFonts w:hint="eastAsia" w:ascii="宋体" w:hAnsi="宋体" w:eastAsia="宋体" w:cs="宋体"/>
                <w:i w:val="0"/>
                <w:iCs w:val="0"/>
                <w:color w:val="000000"/>
                <w:kern w:val="0"/>
                <w:sz w:val="22"/>
                <w:szCs w:val="22"/>
                <w:u w:val="none"/>
                <w:lang w:val="en-US" w:eastAsia="zh-CN" w:bidi="ar"/>
              </w:rPr>
              <w:fldChar w:fldCharType="end"/>
            </w:r>
          </w:p>
        </w:tc>
      </w:tr>
      <w:tr w14:paraId="30BB4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82" w:type="pct"/>
            <w:tcBorders>
              <w:top w:val="nil"/>
              <w:left w:val="nil"/>
              <w:bottom w:val="nil"/>
              <w:right w:val="nil"/>
            </w:tcBorders>
            <w:shd w:val="clear"/>
            <w:noWrap/>
            <w:vAlign w:val="center"/>
          </w:tcPr>
          <w:p w14:paraId="34FF957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Luo (2026)</w:t>
            </w:r>
          </w:p>
        </w:tc>
        <w:tc>
          <w:tcPr>
            <w:tcW w:w="482" w:type="pct"/>
            <w:tcBorders>
              <w:top w:val="nil"/>
              <w:left w:val="nil"/>
              <w:bottom w:val="nil"/>
              <w:right w:val="nil"/>
            </w:tcBorders>
            <w:shd w:val="clear"/>
            <w:noWrap/>
            <w:vAlign w:val="center"/>
          </w:tcPr>
          <w:p w14:paraId="5119897E">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264</w:t>
            </w:r>
          </w:p>
        </w:tc>
        <w:tc>
          <w:tcPr>
            <w:tcW w:w="1165" w:type="pct"/>
            <w:tcBorders>
              <w:top w:val="nil"/>
              <w:left w:val="nil"/>
              <w:bottom w:val="nil"/>
              <w:right w:val="nil"/>
            </w:tcBorders>
            <w:shd w:val="clear"/>
            <w:noWrap/>
            <w:vAlign w:val="center"/>
          </w:tcPr>
          <w:p w14:paraId="439BEF02">
            <w:pPr>
              <w:keepNext w:val="0"/>
              <w:keepLines w:val="0"/>
              <w:widowControl/>
              <w:suppressLineNumbers w:val="0"/>
              <w:jc w:val="left"/>
              <w:textAlignment w:val="center"/>
              <w:rPr>
                <w:rFonts w:hint="default" w:ascii="Arial" w:hAnsi="Arial" w:eastAsia="宋体" w:cs="Arial"/>
                <w:i w:val="0"/>
                <w:iCs w:val="0"/>
                <w:color w:val="303030"/>
                <w:kern w:val="0"/>
                <w:sz w:val="21"/>
                <w:szCs w:val="21"/>
                <w:u w:val="none"/>
                <w:lang w:val="en-US" w:eastAsia="zh-CN" w:bidi="ar"/>
              </w:rPr>
            </w:pPr>
            <w:r>
              <w:rPr>
                <w:rFonts w:hint="default" w:ascii="Arial" w:hAnsi="Arial" w:eastAsia="宋体" w:cs="Arial"/>
                <w:i w:val="0"/>
                <w:iCs w:val="0"/>
                <w:color w:val="303030"/>
                <w:kern w:val="0"/>
                <w:sz w:val="21"/>
                <w:szCs w:val="21"/>
                <w:u w:val="none"/>
                <w:lang w:val="en-US" w:eastAsia="zh-CN" w:bidi="ar"/>
              </w:rPr>
              <w:t>Women referred for colposcopy</w:t>
            </w:r>
          </w:p>
        </w:tc>
        <w:tc>
          <w:tcPr>
            <w:tcW w:w="485" w:type="pct"/>
            <w:tcBorders>
              <w:top w:val="nil"/>
              <w:left w:val="nil"/>
              <w:bottom w:val="nil"/>
              <w:right w:val="nil"/>
            </w:tcBorders>
            <w:shd w:val="clear"/>
            <w:noWrap/>
            <w:vAlign w:val="center"/>
          </w:tcPr>
          <w:p w14:paraId="3FB84B9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CIN3+</w:t>
            </w:r>
          </w:p>
        </w:tc>
        <w:tc>
          <w:tcPr>
            <w:tcW w:w="723" w:type="pct"/>
            <w:tcBorders>
              <w:top w:val="nil"/>
              <w:left w:val="nil"/>
              <w:bottom w:val="nil"/>
              <w:right w:val="nil"/>
            </w:tcBorders>
            <w:shd w:val="clear"/>
            <w:noWrap/>
            <w:vAlign w:val="center"/>
          </w:tcPr>
          <w:p w14:paraId="1AFDB69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0.852</w:t>
            </w:r>
          </w:p>
        </w:tc>
        <w:tc>
          <w:tcPr>
            <w:tcW w:w="591" w:type="pct"/>
            <w:tcBorders>
              <w:top w:val="nil"/>
              <w:left w:val="nil"/>
              <w:bottom w:val="nil"/>
              <w:right w:val="nil"/>
            </w:tcBorders>
            <w:shd w:val="clear"/>
            <w:noWrap/>
            <w:vAlign w:val="center"/>
          </w:tcPr>
          <w:p w14:paraId="4B19032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87.8 [77.8-97.8]</w:t>
            </w:r>
          </w:p>
        </w:tc>
        <w:tc>
          <w:tcPr>
            <w:tcW w:w="624" w:type="pct"/>
            <w:tcBorders>
              <w:top w:val="nil"/>
              <w:left w:val="nil"/>
              <w:bottom w:val="nil"/>
              <w:right w:val="nil"/>
            </w:tcBorders>
            <w:shd w:val="clear"/>
            <w:noWrap/>
            <w:vAlign w:val="center"/>
          </w:tcPr>
          <w:p w14:paraId="3DBF1735">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w:t>
            </w:r>
          </w:p>
        </w:tc>
        <w:tc>
          <w:tcPr>
            <w:tcW w:w="444" w:type="pct"/>
            <w:tcBorders>
              <w:top w:val="nil"/>
              <w:left w:val="nil"/>
              <w:bottom w:val="nil"/>
              <w:right w:val="nil"/>
            </w:tcBorders>
            <w:shd w:val="clear"/>
            <w:noWrap/>
            <w:vAlign w:val="center"/>
          </w:tcPr>
          <w:p w14:paraId="39CE5D7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fldChar w:fldCharType="begin"/>
            </w:r>
            <w:r>
              <w:rPr>
                <w:rFonts w:hint="eastAsia" w:ascii="宋体" w:hAnsi="宋体" w:eastAsia="宋体" w:cs="宋体"/>
                <w:i w:val="0"/>
                <w:iCs w:val="0"/>
                <w:color w:val="000000"/>
                <w:kern w:val="0"/>
                <w:sz w:val="22"/>
                <w:szCs w:val="22"/>
                <w:u w:val="none"/>
                <w:lang w:val="en-US" w:eastAsia="zh-CN" w:bidi="ar"/>
              </w:rPr>
              <w:instrText xml:space="preserve"> ADDIN ZOTERO_ITEM CSL_CITATION {"citationID":"JSRDczHz","properties":{"unsorted":false,"formattedCitation":"[3]","plainCitation":"[3]","noteIndex":0},"citationItems":[{"id":3797,"uris":["http://zotero.org/users/6238681/items/5JWW2HKM"],"itemData":{"id":3797,"type":"article-journal","abstract":"This prospective single-center study aimed to investigate the clinical correlation between PAX1/JAM3 methylation (CISCER) assay and clinically evaluated vaginal microecological features in women referred for colposcopy, and to assess the potential complementary diagnostic value for detecting high-grade cervical lesions.","citation-key":"luoPAX1JAM3Methylation2026","container-title":"BMC Women's Health","DOI":"10.1186/s12905-026-04285-6","ISSN":"1472-6874","journalAbbreviation":"BMC Women's Health","language":"en","source":"Springer Link","title":"PAX1/JAM3 methylation in cervical exfoliated cells: a robust diagnostic biomarker for cervical high-grade lesions associated with vaginal dysbiosis","title-short":"PAX1/JAM3 methylation in cervical exfoliated cells","URL":"https://doi.org/10.1186/s12905-026-04285-6","author":[{"family":"Luo","given":"Lianmei"},{"family":"Wang","given":"Lanruo"},{"family":"Liu","given":"Zhiying"},{"family":"Cai","given":"Youqin"},{"family":"Zhang","given":"Jun"}],"accessed":{"date-parts":[["2026",2,2]]},"issued":{"date-parts":[["2026",1,22]]}}}],"schema":"https://github.com/citation-style-language/schema/raw/master/csl-citation.json"} </w:instrText>
            </w:r>
            <w:r>
              <w:rPr>
                <w:rFonts w:hint="eastAsia" w:ascii="宋体" w:hAnsi="宋体" w:eastAsia="宋体" w:cs="宋体"/>
                <w:i w:val="0"/>
                <w:iCs w:val="0"/>
                <w:color w:val="000000"/>
                <w:kern w:val="0"/>
                <w:sz w:val="22"/>
                <w:szCs w:val="22"/>
                <w:u w:val="none"/>
                <w:lang w:val="en-US" w:eastAsia="zh-CN" w:bidi="ar"/>
              </w:rPr>
              <w:fldChar w:fldCharType="separate"/>
            </w:r>
            <w:r>
              <w:rPr>
                <w:rFonts w:hint="default" w:ascii="Calibri" w:hAnsi="Calibri" w:eastAsia="宋体" w:cs="Calibri"/>
                <w:sz w:val="22"/>
                <w:lang w:eastAsia="zh-CN"/>
              </w:rPr>
              <w:t>[3]</w:t>
            </w:r>
            <w:r>
              <w:rPr>
                <w:rFonts w:hint="eastAsia" w:ascii="宋体" w:hAnsi="宋体" w:eastAsia="宋体" w:cs="宋体"/>
                <w:i w:val="0"/>
                <w:iCs w:val="0"/>
                <w:color w:val="000000"/>
                <w:kern w:val="0"/>
                <w:sz w:val="22"/>
                <w:szCs w:val="22"/>
                <w:u w:val="none"/>
                <w:lang w:val="en-US" w:eastAsia="zh-CN" w:bidi="ar"/>
              </w:rPr>
              <w:fldChar w:fldCharType="end"/>
            </w:r>
          </w:p>
        </w:tc>
      </w:tr>
      <w:tr w14:paraId="63773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482" w:type="pct"/>
            <w:tcBorders>
              <w:top w:val="nil"/>
              <w:left w:val="nil"/>
              <w:bottom w:val="nil"/>
              <w:right w:val="nil"/>
            </w:tcBorders>
            <w:shd w:val="clear"/>
            <w:noWrap/>
            <w:vAlign w:val="center"/>
          </w:tcPr>
          <w:p w14:paraId="6F581480">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Su (2025)</w:t>
            </w:r>
          </w:p>
        </w:tc>
        <w:tc>
          <w:tcPr>
            <w:tcW w:w="482" w:type="pct"/>
            <w:tcBorders>
              <w:top w:val="nil"/>
              <w:left w:val="nil"/>
              <w:bottom w:val="nil"/>
              <w:right w:val="nil"/>
            </w:tcBorders>
            <w:shd w:val="clear"/>
            <w:noWrap/>
            <w:vAlign w:val="center"/>
          </w:tcPr>
          <w:p w14:paraId="18FA5BA4">
            <w:pPr>
              <w:keepNext w:val="0"/>
              <w:keepLines w:val="0"/>
              <w:widowControl/>
              <w:suppressLineNumbers w:val="0"/>
              <w:jc w:val="right"/>
              <w:textAlignment w:val="center"/>
              <w:rPr>
                <w:rFonts w:hint="default"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643</w:t>
            </w:r>
          </w:p>
        </w:tc>
        <w:tc>
          <w:tcPr>
            <w:tcW w:w="1165" w:type="pct"/>
            <w:tcBorders>
              <w:top w:val="nil"/>
              <w:left w:val="nil"/>
              <w:bottom w:val="nil"/>
              <w:right w:val="nil"/>
            </w:tcBorders>
            <w:shd w:val="clear"/>
            <w:noWrap/>
            <w:vAlign w:val="center"/>
          </w:tcPr>
          <w:p w14:paraId="0956ADBF">
            <w:pPr>
              <w:keepNext w:val="0"/>
              <w:keepLines w:val="0"/>
              <w:widowControl/>
              <w:suppressLineNumbers w:val="0"/>
              <w:jc w:val="left"/>
              <w:textAlignment w:val="center"/>
              <w:rPr>
                <w:rFonts w:hint="default" w:ascii="Arial" w:hAnsi="Arial" w:eastAsia="宋体" w:cs="Arial"/>
                <w:i w:val="0"/>
                <w:iCs w:val="0"/>
                <w:color w:val="303030"/>
                <w:kern w:val="0"/>
                <w:sz w:val="21"/>
                <w:szCs w:val="21"/>
                <w:u w:val="none"/>
                <w:lang w:val="en-US" w:eastAsia="zh-CN" w:bidi="ar"/>
              </w:rPr>
            </w:pPr>
            <w:r>
              <w:rPr>
                <w:rFonts w:hint="default" w:ascii="Arial" w:hAnsi="Arial" w:eastAsia="宋体" w:cs="Arial"/>
                <w:i w:val="0"/>
                <w:iCs w:val="0"/>
                <w:color w:val="303030"/>
                <w:kern w:val="0"/>
                <w:sz w:val="21"/>
                <w:szCs w:val="21"/>
                <w:u w:val="none"/>
                <w:lang w:val="en-US" w:eastAsia="zh-CN" w:bidi="ar"/>
              </w:rPr>
              <w:t>Women with non-16/18 hrHPV infection</w:t>
            </w:r>
          </w:p>
        </w:tc>
        <w:tc>
          <w:tcPr>
            <w:tcW w:w="485" w:type="pct"/>
            <w:tcBorders>
              <w:top w:val="nil"/>
              <w:left w:val="nil"/>
              <w:bottom w:val="nil"/>
              <w:right w:val="nil"/>
            </w:tcBorders>
            <w:shd w:val="clear"/>
            <w:noWrap/>
            <w:vAlign w:val="center"/>
          </w:tcPr>
          <w:p w14:paraId="0124296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default" w:ascii="Arial" w:hAnsi="Arial" w:eastAsia="宋体" w:cs="Arial"/>
                <w:i w:val="0"/>
                <w:iCs w:val="0"/>
                <w:color w:val="303030"/>
                <w:kern w:val="0"/>
                <w:sz w:val="21"/>
                <w:szCs w:val="21"/>
                <w:u w:val="none"/>
                <w:lang w:val="en-US" w:eastAsia="zh-CN" w:bidi="ar"/>
              </w:rPr>
              <w:t>CIN2+</w:t>
            </w:r>
          </w:p>
        </w:tc>
        <w:tc>
          <w:tcPr>
            <w:tcW w:w="723" w:type="pct"/>
            <w:tcBorders>
              <w:top w:val="nil"/>
              <w:left w:val="nil"/>
              <w:bottom w:val="nil"/>
              <w:right w:val="nil"/>
            </w:tcBorders>
            <w:shd w:val="clear"/>
            <w:noWrap/>
            <w:vAlign w:val="center"/>
          </w:tcPr>
          <w:p w14:paraId="267E95B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Style w:val="4"/>
                <w:rFonts w:hint="default" w:ascii="Arial" w:hAnsi="Arial" w:cs="Arial"/>
                <w:color w:val="000000" w:themeColor="text1"/>
                <w:highlight w:val="none"/>
                <w:lang w:bidi="ar"/>
                <w14:textFill>
                  <w14:solidFill>
                    <w14:schemeClr w14:val="tx1"/>
                  </w14:solidFill>
                </w14:textFill>
              </w:rPr>
              <w:t>0.856 (0.815-0.897)</w:t>
            </w:r>
          </w:p>
        </w:tc>
        <w:tc>
          <w:tcPr>
            <w:tcW w:w="591" w:type="pct"/>
            <w:tcBorders>
              <w:top w:val="nil"/>
              <w:left w:val="nil"/>
              <w:bottom w:val="nil"/>
              <w:right w:val="nil"/>
            </w:tcBorders>
            <w:shd w:val="clear"/>
            <w:noWrap/>
            <w:vAlign w:val="center"/>
          </w:tcPr>
          <w:p w14:paraId="6623A3A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Style w:val="4"/>
                <w:rFonts w:hint="default" w:ascii="Arial" w:hAnsi="Arial" w:cs="Arial"/>
                <w:color w:val="000000" w:themeColor="text1"/>
                <w:highlight w:val="none"/>
                <w:lang w:bidi="ar"/>
                <w14:textFill>
                  <w14:solidFill>
                    <w14:schemeClr w14:val="tx1"/>
                  </w14:solidFill>
                </w14:textFill>
              </w:rPr>
              <w:t>76.1 (68.2-84)</w:t>
            </w:r>
          </w:p>
        </w:tc>
        <w:tc>
          <w:tcPr>
            <w:tcW w:w="624" w:type="pct"/>
            <w:tcBorders>
              <w:top w:val="nil"/>
              <w:left w:val="nil"/>
              <w:bottom w:val="nil"/>
              <w:right w:val="nil"/>
            </w:tcBorders>
            <w:shd w:val="clear"/>
            <w:noWrap/>
            <w:vAlign w:val="center"/>
          </w:tcPr>
          <w:p w14:paraId="397BDDA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Style w:val="4"/>
                <w:rFonts w:hint="default" w:ascii="Arial" w:hAnsi="Arial" w:cs="Arial"/>
                <w:color w:val="000000" w:themeColor="text1"/>
                <w:highlight w:val="none"/>
                <w:lang w:bidi="ar"/>
                <w14:textFill>
                  <w14:solidFill>
                    <w14:schemeClr w14:val="tx1"/>
                  </w14:solidFill>
                </w14:textFill>
              </w:rPr>
              <w:t>95.1 (93.3-96.9)</w:t>
            </w:r>
          </w:p>
        </w:tc>
        <w:tc>
          <w:tcPr>
            <w:tcW w:w="444" w:type="pct"/>
            <w:tcBorders>
              <w:top w:val="nil"/>
              <w:left w:val="nil"/>
              <w:bottom w:val="nil"/>
              <w:right w:val="nil"/>
            </w:tcBorders>
            <w:shd w:val="clear"/>
            <w:noWrap/>
            <w:vAlign w:val="center"/>
          </w:tcPr>
          <w:p w14:paraId="756271F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r>
      <w:tr w14:paraId="25861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82" w:type="pct"/>
            <w:tcBorders>
              <w:top w:val="nil"/>
              <w:left w:val="nil"/>
              <w:bottom w:val="nil"/>
              <w:right w:val="nil"/>
            </w:tcBorders>
            <w:shd w:val="clear"/>
            <w:noWrap/>
            <w:vAlign w:val="center"/>
          </w:tcPr>
          <w:p w14:paraId="2A53107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Su (2025)</w:t>
            </w:r>
          </w:p>
        </w:tc>
        <w:tc>
          <w:tcPr>
            <w:tcW w:w="482" w:type="pct"/>
            <w:tcBorders>
              <w:top w:val="nil"/>
              <w:left w:val="nil"/>
              <w:bottom w:val="nil"/>
              <w:right w:val="nil"/>
            </w:tcBorders>
            <w:shd w:val="clear"/>
            <w:noWrap/>
            <w:vAlign w:val="center"/>
          </w:tcPr>
          <w:p w14:paraId="6350D562">
            <w:pPr>
              <w:keepNext w:val="0"/>
              <w:keepLines w:val="0"/>
              <w:widowControl/>
              <w:suppressLineNumbers w:val="0"/>
              <w:jc w:val="right"/>
              <w:textAlignment w:val="center"/>
              <w:rPr>
                <w:rFonts w:hint="default" w:ascii="宋体" w:hAnsi="宋体" w:eastAsia="宋体" w:cs="宋体"/>
                <w:i w:val="0"/>
                <w:iCs w:val="0"/>
                <w:color w:val="000000"/>
                <w:kern w:val="0"/>
                <w:sz w:val="22"/>
                <w:szCs w:val="22"/>
                <w:u w:val="none"/>
                <w:bdr w:val="none" w:color="auto" w:sz="0" w:space="0"/>
                <w:lang w:val="en-US" w:eastAsia="zh-CN" w:bidi="ar"/>
              </w:rPr>
            </w:pPr>
            <w:r>
              <w:rPr>
                <w:rFonts w:hint="eastAsia" w:ascii="宋体" w:hAnsi="宋体" w:eastAsia="宋体" w:cs="宋体"/>
                <w:i w:val="0"/>
                <w:iCs w:val="0"/>
                <w:color w:val="000000"/>
                <w:kern w:val="0"/>
                <w:sz w:val="22"/>
                <w:szCs w:val="22"/>
                <w:u w:val="none"/>
                <w:bdr w:val="none" w:color="auto" w:sz="0" w:space="0"/>
                <w:lang w:val="en-US" w:eastAsia="zh-CN" w:bidi="ar"/>
              </w:rPr>
              <w:t>643</w:t>
            </w:r>
          </w:p>
        </w:tc>
        <w:tc>
          <w:tcPr>
            <w:tcW w:w="1165" w:type="pct"/>
            <w:tcBorders>
              <w:top w:val="nil"/>
              <w:left w:val="nil"/>
              <w:bottom w:val="nil"/>
              <w:right w:val="nil"/>
            </w:tcBorders>
            <w:shd w:val="clear"/>
            <w:noWrap/>
            <w:vAlign w:val="center"/>
          </w:tcPr>
          <w:p w14:paraId="29CD0289">
            <w:pPr>
              <w:keepNext w:val="0"/>
              <w:keepLines w:val="0"/>
              <w:widowControl/>
              <w:suppressLineNumbers w:val="0"/>
              <w:jc w:val="left"/>
              <w:textAlignment w:val="center"/>
              <w:rPr>
                <w:rFonts w:hint="default" w:ascii="Arial" w:hAnsi="Arial" w:eastAsia="宋体" w:cs="Arial"/>
                <w:i w:val="0"/>
                <w:iCs w:val="0"/>
                <w:color w:val="303030"/>
                <w:kern w:val="0"/>
                <w:sz w:val="21"/>
                <w:szCs w:val="21"/>
                <w:u w:val="none"/>
                <w:lang w:val="en-US" w:eastAsia="zh-CN" w:bidi="ar"/>
              </w:rPr>
            </w:pPr>
            <w:r>
              <w:rPr>
                <w:rFonts w:hint="default" w:ascii="Arial" w:hAnsi="Arial" w:eastAsia="宋体" w:cs="Arial"/>
                <w:i w:val="0"/>
                <w:iCs w:val="0"/>
                <w:color w:val="303030"/>
                <w:kern w:val="0"/>
                <w:sz w:val="21"/>
                <w:szCs w:val="21"/>
                <w:u w:val="none"/>
                <w:lang w:val="en-US" w:eastAsia="zh-CN" w:bidi="ar"/>
              </w:rPr>
              <w:t>Women with non-16/18 hrHPV infection</w:t>
            </w:r>
          </w:p>
        </w:tc>
        <w:tc>
          <w:tcPr>
            <w:tcW w:w="485" w:type="pct"/>
            <w:tcBorders>
              <w:top w:val="nil"/>
              <w:left w:val="nil"/>
              <w:bottom w:val="nil"/>
              <w:right w:val="nil"/>
            </w:tcBorders>
            <w:shd w:val="clear"/>
            <w:noWrap/>
            <w:vAlign w:val="center"/>
          </w:tcPr>
          <w:p w14:paraId="1B8B5FF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CIN3+</w:t>
            </w:r>
          </w:p>
        </w:tc>
        <w:tc>
          <w:tcPr>
            <w:tcW w:w="723" w:type="pct"/>
            <w:tcBorders>
              <w:top w:val="nil"/>
              <w:left w:val="nil"/>
              <w:bottom w:val="nil"/>
              <w:right w:val="nil"/>
            </w:tcBorders>
            <w:shd w:val="clear"/>
            <w:noWrap/>
            <w:vAlign w:val="center"/>
          </w:tcPr>
          <w:p w14:paraId="68BB22F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Style w:val="4"/>
                <w:rFonts w:hint="default" w:ascii="Arial" w:hAnsi="Arial" w:cs="Arial"/>
                <w:color w:val="000000" w:themeColor="text1"/>
                <w:highlight w:val="none"/>
                <w:lang w:bidi="ar"/>
                <w14:textFill>
                  <w14:solidFill>
                    <w14:schemeClr w14:val="tx1"/>
                  </w14:solidFill>
                </w14:textFill>
              </w:rPr>
              <w:t>0.892 (0.847-0.936)</w:t>
            </w:r>
          </w:p>
        </w:tc>
        <w:tc>
          <w:tcPr>
            <w:tcW w:w="591" w:type="pct"/>
            <w:tcBorders>
              <w:top w:val="nil"/>
              <w:left w:val="nil"/>
              <w:bottom w:val="nil"/>
              <w:right w:val="nil"/>
            </w:tcBorders>
            <w:shd w:val="clear"/>
            <w:noWrap/>
            <w:vAlign w:val="center"/>
          </w:tcPr>
          <w:p w14:paraId="43D84A1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Style w:val="4"/>
                <w:rFonts w:hint="default" w:ascii="Arial" w:hAnsi="Arial" w:cs="Arial"/>
                <w:color w:val="000000" w:themeColor="text1"/>
                <w:highlight w:val="none"/>
                <w:lang w:bidi="ar"/>
                <w14:textFill>
                  <w14:solidFill>
                    <w14:schemeClr w14:val="tx1"/>
                  </w14:solidFill>
                </w14:textFill>
              </w:rPr>
              <w:t>89.8 (81.3-98.3)</w:t>
            </w:r>
          </w:p>
        </w:tc>
        <w:tc>
          <w:tcPr>
            <w:tcW w:w="624" w:type="pct"/>
            <w:tcBorders>
              <w:top w:val="nil"/>
              <w:left w:val="nil"/>
              <w:bottom w:val="nil"/>
              <w:right w:val="nil"/>
            </w:tcBorders>
            <w:shd w:val="clear"/>
            <w:noWrap/>
            <w:vAlign w:val="center"/>
          </w:tcPr>
          <w:p w14:paraId="08F2D0B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bdr w:val="none" w:color="auto" w:sz="0" w:space="0"/>
                <w:lang w:val="en-US" w:eastAsia="zh-CN" w:bidi="ar"/>
              </w:rPr>
            </w:pPr>
            <w:r>
              <w:rPr>
                <w:rStyle w:val="4"/>
                <w:rFonts w:hint="default" w:ascii="Arial" w:hAnsi="Arial" w:cs="Arial"/>
                <w:color w:val="000000" w:themeColor="text1"/>
                <w:highlight w:val="none"/>
                <w:lang w:bidi="ar"/>
                <w14:textFill>
                  <w14:solidFill>
                    <w14:schemeClr w14:val="tx1"/>
                  </w14:solidFill>
                </w14:textFill>
              </w:rPr>
              <w:t>88.6 (86-91.1)</w:t>
            </w:r>
          </w:p>
        </w:tc>
        <w:tc>
          <w:tcPr>
            <w:tcW w:w="444" w:type="pct"/>
            <w:tcBorders>
              <w:top w:val="nil"/>
              <w:left w:val="nil"/>
              <w:bottom w:val="nil"/>
              <w:right w:val="nil"/>
            </w:tcBorders>
            <w:shd w:val="clear"/>
            <w:noWrap/>
            <w:vAlign w:val="center"/>
          </w:tcPr>
          <w:p w14:paraId="5A8D856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r>
    </w:tbl>
    <w:p w14:paraId="339FDCFC">
      <w:bookmarkStart w:id="0" w:name="_GoBack"/>
      <w:bookmarkEnd w:id="0"/>
    </w:p>
    <w:p w14:paraId="504B2B65"/>
    <w:p w14:paraId="72963521"/>
    <w:p w14:paraId="5D062A22"/>
    <w:p w14:paraId="755C363D"/>
    <w:p w14:paraId="2F57D4A8">
      <w:pPr>
        <w:rPr>
          <w:rFonts w:hint="eastAsia"/>
          <w:lang w:val="en-US" w:eastAsia="zh-CN"/>
        </w:rPr>
      </w:pPr>
      <w:r>
        <w:rPr>
          <w:rFonts w:hint="eastAsia"/>
          <w:lang w:val="en-US" w:eastAsia="zh-CN"/>
        </w:rPr>
        <w:t>References</w:t>
      </w:r>
    </w:p>
    <w:p w14:paraId="4541DA09">
      <w:pPr>
        <w:rPr>
          <w:rFonts w:hint="eastAsia"/>
          <w:lang w:val="en-US" w:eastAsia="zh-CN"/>
        </w:rPr>
      </w:pPr>
    </w:p>
    <w:sectPr>
      <w:pgSz w:w="16838" w:h="23811"/>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256"/>
    <w:rsid w:val="00D12256"/>
    <w:rsid w:val="21BA7A65"/>
    <w:rsid w:val="5C632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font21"/>
    <w:basedOn w:val="3"/>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2026-02-10T02:05:00Z</dcterms:created>
  <dc:creator>Wang Yishan</dc:creator>
  <cp:lastModifiedBy>Wang Yishan</cp:lastModifiedBy>
  <dcterms:modified xsi:type="dcterms:W3CDTF">2026-02-10T06:37:45Z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2011B71936434ECF82767B8510DD5D02_11</vt:lpwstr>
  </property>
  <property fmtid="{D5CDD505-2E9C-101B-9397-08002B2CF9AE}" pid="4" name="ZOTERO_PREF_1">
    <vt:lpwstr>&lt;data data-version="3" zotero-version="8.0.2"&gt;&lt;session id="KKhWNQNt"/&gt;&lt;style id="http://www.zotero.org/styles/bmc-cancer" hasBibliography="1" bibliographyStyleHasBeenSet="0"/&gt;&lt;prefs&gt;&lt;pref name="fieldType" value="Field"/&gt;&lt;/prefs&gt;&lt;/data&gt;</vt:lpwstr>
  </property>
  <property fmtid="{D5CDD505-2E9C-101B-9397-08002B2CF9AE}" pid="5" name="KSOTemplateDocerSaveRecord">
    <vt:lpwstr>eyJoZGlkIjoiZGFmZjYwY2FhNmM0MDNhNWYyYWM1ZWE5NzA0MGMyMDQiLCJ1c2VySWQiOiIyMzI4NjUxMSJ9</vt:lpwstr>
  </property>
</Properties>
</file>