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Сиссе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  <w:r>
        <w:t xml:space="preserve"> </w:t>
      </w:r>
      <w:r>
        <w:t xml:space="preserve">результатов выполнения инструкций; регистры процессора делятся на два</w:t>
      </w:r>
      <w:r>
        <w:t xml:space="preserve"> </w:t>
      </w:r>
      <w:r>
        <w:t xml:space="preserve">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</w:t>
      </w:r>
      <w:r>
        <w:t xml:space="preserve"> </w:t>
      </w:r>
      <w:r>
        <w:t xml:space="preserve">регистры процессора существуют и как их можно использовать. Большинство</w:t>
      </w:r>
      <w:r>
        <w:t xml:space="preserve"> </w:t>
      </w:r>
      <w:r>
        <w:t xml:space="preserve">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</w:t>
      </w:r>
      <w:r>
        <w:t xml:space="preserve"> </w:t>
      </w:r>
      <w:r>
        <w:t xml:space="preserve">данных хранящихся в регистрах процессора, это например пересылка данных</w:t>
      </w:r>
      <w:r>
        <w:t xml:space="preserve"> </w:t>
      </w:r>
      <w:r>
        <w:t xml:space="preserve">между регистрами или между регистрами и памятью, преобразование (арифме-</w:t>
      </w:r>
      <w:r>
        <w:t xml:space="preserve"> </w:t>
      </w:r>
      <w:r>
        <w:t xml:space="preserve">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</w:t>
      </w:r>
      <w:r>
        <w:t xml:space="preserve"> </w:t>
      </w:r>
      <w:r>
        <w:t xml:space="preserve">по именам. Каждый регистр процессора архитектуры x86 имеет свое название,</w:t>
      </w:r>
      <w:r>
        <w:t xml:space="preserve"> </w:t>
      </w:r>
      <w:r>
        <w:t xml:space="preserve">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назначе-</w:t>
      </w:r>
      <w:r>
        <w:t xml:space="preserve"> </w:t>
      </w:r>
      <w:r>
        <w:t xml:space="preserve">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реги-</w:t>
      </w:r>
      <w:r>
        <w:t xml:space="preserve"> </w:t>
      </w:r>
      <w:r>
        <w:t xml:space="preserve">стров). Например, AH (high AX) — старшие 8 бит регистра AX, AL (low AX) —</w:t>
      </w:r>
      <w:r>
        <w:t xml:space="preserve"> </w:t>
      </w:r>
      <w:r>
        <w:t xml:space="preserve">младшие 8 бит регистра AX.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работы с программами на языке ассемблера NASM. (рис. 1)</w:t>
      </w:r>
    </w:p>
    <w:p>
      <w:pPr>
        <w:pStyle w:val="CaptionedFigure"/>
      </w:pPr>
      <w:bookmarkStart w:id="25" w:name="fig:001"/>
      <w:r>
        <w:drawing>
          <wp:inline>
            <wp:extent cx="5334000" cy="4015567"/>
            <wp:effectExtent b="0" l="0" r="0" t="0"/>
            <wp:docPr descr="Рис. 1: Создайте каталог для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Создайте каталог для работы</w:t>
      </w:r>
    </w:p>
    <w:p>
      <w:pPr>
        <w:numPr>
          <w:ilvl w:val="0"/>
          <w:numId w:val="1003"/>
        </w:numPr>
        <w:pStyle w:val="Compact"/>
      </w:pPr>
      <w:r>
        <w:t xml:space="preserve">файл с помощью любого текстового редактора, например, gedit с помощью команды gedit hello.asm. (рис. 2)</w:t>
      </w:r>
    </w:p>
    <w:p>
      <w:pPr>
        <w:pStyle w:val="CaptionedFigure"/>
      </w:pPr>
      <w:bookmarkStart w:id="29" w:name="fig:002"/>
      <w:r>
        <w:drawing>
          <wp:inline>
            <wp:extent cx="5334000" cy="4476750"/>
            <wp:effectExtent b="0" l="0" r="0" t="0"/>
            <wp:docPr descr="Рис. 2: вставить текст hello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вставить текст hello.asm</w:t>
      </w:r>
    </w:p>
    <w:p>
      <w:pPr>
        <w:numPr>
          <w:ilvl w:val="0"/>
          <w:numId w:val="1004"/>
        </w:numPr>
        <w:pStyle w:val="Compact"/>
      </w:pPr>
      <w:r>
        <w:t xml:space="preserve">Транслятор NASMКомпоновщик LD. (рис. 3)</w:t>
      </w:r>
    </w:p>
    <w:p>
      <w:pPr>
        <w:pStyle w:val="CaptionedFigure"/>
      </w:pPr>
      <w:bookmarkStart w:id="33" w:name="fig:003"/>
      <w:r>
        <w:drawing>
          <wp:inline>
            <wp:extent cx="5334000" cy="4015567"/>
            <wp:effectExtent b="0" l="0" r="0" t="0"/>
            <wp:docPr descr="Рис. 3: Расширенный синтаксис командной строки N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Расширенный синтаксис командной строки NASM</w:t>
      </w:r>
    </w:p>
    <w:p>
      <w:pPr>
        <w:numPr>
          <w:ilvl w:val="0"/>
          <w:numId w:val="1005"/>
        </w:numPr>
        <w:pStyle w:val="Compact"/>
      </w:pPr>
      <w:r>
        <w:t xml:space="preserve">Компоновщик LD. (рис. 4)</w:t>
      </w:r>
    </w:p>
    <w:p>
      <w:pPr>
        <w:pStyle w:val="CaptionedFigure"/>
      </w:pPr>
      <w:bookmarkStart w:id="37" w:name="fig:004"/>
      <w:r>
        <w:drawing>
          <wp:inline>
            <wp:extent cx="5334000" cy="4015567"/>
            <wp:effectExtent b="0" l="0" r="0" t="0"/>
            <wp:docPr descr="Рис. 4: 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lab5.asm. (рис. 5)</w:t>
      </w:r>
    </w:p>
    <w:p>
      <w:pPr>
        <w:pStyle w:val="CaptionedFigure"/>
      </w:pPr>
      <w:bookmarkStart w:id="41" w:name="fig:005"/>
      <w:r>
        <w:drawing>
          <wp:inline>
            <wp:extent cx="5334000" cy="4476750"/>
            <wp:effectExtent b="0" l="0" r="0" t="0"/>
            <wp:docPr descr="Рис. 5: копию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копию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 (рис. 6)</w:t>
      </w:r>
    </w:p>
    <w:p>
      <w:pPr>
        <w:pStyle w:val="CaptionedFigure"/>
      </w:pPr>
      <w:bookmarkStart w:id="45" w:name="fig:006"/>
      <w:r>
        <w:drawing>
          <wp:inline>
            <wp:extent cx="5334000" cy="4476750"/>
            <wp:effectExtent b="0" l="0" r="0" t="0"/>
            <wp:docPr descr="Рис. 6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текст программы</w:t>
      </w:r>
    </w:p>
    <w:p>
      <w:pPr>
        <w:numPr>
          <w:ilvl w:val="0"/>
          <w:numId w:val="1008"/>
        </w:numPr>
        <w:pStyle w:val="Compact"/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4015567"/>
            <wp:effectExtent b="0" l="0" r="0" t="0"/>
            <wp:docPr descr="Рис. 7: lab5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lab5.asm</w:t>
      </w:r>
    </w:p>
    <w:p>
      <w:pPr>
        <w:numPr>
          <w:ilvl w:val="0"/>
          <w:numId w:val="1009"/>
        </w:numPr>
        <w:pStyle w:val="Compact"/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/arch-pc/labs/lab05/,Загрузите файлы на Github. (рис .8)</w:t>
      </w:r>
    </w:p>
    <w:p>
      <w:pPr>
        <w:pStyle w:val="CaptionedFigure"/>
      </w:pPr>
      <w:bookmarkStart w:id="53" w:name="fig:008"/>
      <w:r>
        <w:drawing>
          <wp:inline>
            <wp:extent cx="5334000" cy="4015567"/>
            <wp:effectExtent b="0" l="0" r="0" t="0"/>
            <wp:docPr descr="Рис. 8: Скопируйте файл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Скопируйте файлы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 практический навык в освоении процедур компиляции и ассемблера программ, написанных на ассемблере NASM.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6">
        <w:r>
          <w:rPr>
            <w:rStyle w:val="Hyperlink"/>
          </w:rPr>
          <w:t xml:space="preserve">Расширенный ассемблер: NASM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hyperlink" Id="rId56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Сиссе Мохамед Ламин</dc:creator>
  <dc:language>ru-RU</dc:language>
  <cp:keywords/>
  <dcterms:created xsi:type="dcterms:W3CDTF">2022-12-16T18:41:13Z</dcterms:created>
  <dcterms:modified xsi:type="dcterms:W3CDTF">2022-12-16T18:41:13Z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