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kit-donboarding-connecteurs-esgflow"/>
    <w:p>
      <w:pPr>
        <w:pStyle w:val="Heading1"/>
      </w:pPr>
      <w:r>
        <w:t xml:space="preserve">Kit d’onboarding — Connecteurs ESGFlow</w:t>
      </w:r>
    </w:p>
    <w:p>
      <w:pPr>
        <w:pStyle w:val="FirstParagraph"/>
      </w:pPr>
      <w:r>
        <w:rPr>
          <w:bCs/>
          <w:b/>
        </w:rPr>
        <w:t xml:space="preserve">À envoyer au client après signature du contrat</w:t>
      </w:r>
      <w:r>
        <w:t xml:space="preserve"> </w:t>
      </w:r>
      <w:r>
        <w:t xml:space="preserve">Version 1.0 — GreenConnect ESGFlow</w:t>
      </w:r>
    </w:p>
    <w:p>
      <w:r>
        <w:pict>
          <v:rect style="width:0;height:1.5pt" o:hralign="center" o:hrstd="t" o:hr="t"/>
        </w:pict>
      </w:r>
    </w:p>
    <w:bookmarkStart w:id="20" w:name="bienvenue"/>
    <w:p>
      <w:pPr>
        <w:pStyle w:val="Heading2"/>
      </w:pPr>
      <w:r>
        <w:t xml:space="preserve">Bienvenue 👋</w:t>
      </w:r>
    </w:p>
    <w:p>
      <w:pPr>
        <w:pStyle w:val="FirstParagraph"/>
      </w:pPr>
      <w:r>
        <w:t xml:space="preserve">Pour que votre plateforme ESGFlow soit opérationnelle rapidement, nous avons besoin que votre équipe prépare les accès aux systèmes que vous souhaitez connecter.</w:t>
      </w:r>
    </w:p>
    <w:p>
      <w:pPr>
        <w:pStyle w:val="BodyText"/>
      </w:pPr>
      <w:r>
        <w:t xml:space="preserve">Ce document liste</w:t>
      </w:r>
      <w:r>
        <w:t xml:space="preserve"> </w:t>
      </w:r>
      <w:r>
        <w:rPr>
          <w:bCs/>
          <w:b/>
        </w:rPr>
        <w:t xml:space="preserve">exactement ce qu’il faut préparer</w:t>
      </w:r>
      <w:r>
        <w:t xml:space="preserve">,</w:t>
      </w:r>
      <w:r>
        <w:t xml:space="preserve"> </w:t>
      </w:r>
      <w:r>
        <w:rPr>
          <w:bCs/>
          <w:b/>
        </w:rPr>
        <w:t xml:space="preserve">qui doit s’en charger en interne</w:t>
      </w:r>
      <w:r>
        <w:t xml:space="preserve">, et</w:t>
      </w:r>
      <w:r>
        <w:t xml:space="preserve"> </w:t>
      </w:r>
      <w:r>
        <w:rPr>
          <w:bCs/>
          <w:b/>
        </w:rPr>
        <w:t xml:space="preserve">le délai estimé</w:t>
      </w:r>
      <w:r>
        <w:t xml:space="preserve"> </w:t>
      </w:r>
      <w:r>
        <w:t xml:space="preserve">pour chaque connecteur.</w:t>
      </w:r>
    </w:p>
    <w:p>
      <w:pPr>
        <w:pStyle w:val="BlockText"/>
      </w:pPr>
      <w:r>
        <w:rPr>
          <w:bCs/>
          <w:b/>
        </w:rPr>
        <w:t xml:space="preserve">Délai moyen d’activation complète : 5 à 15 jours ouvrés</w:t>
      </w:r>
      <w:r>
        <w:t xml:space="preserve"> </w:t>
      </w:r>
      <w:r>
        <w:t xml:space="preserve">La majeure partie de ce délai dépend de vos procédures internes — plus tôt vous transmettez les accès, plus vite votre plateforme est opérationnelle.</w:t>
      </w:r>
    </w:p>
    <w:p>
      <w:r>
        <w:pict>
          <v:rect style="width:0;height:1.5pt" o:hralign="center" o:hrstd="t" o:hr="t"/>
        </w:pict>
      </w:r>
    </w:p>
    <w:bookmarkEnd w:id="20"/>
    <w:bookmarkStart w:id="21" w:name="étape-1-choisissez-vos-connecteurs"/>
    <w:p>
      <w:pPr>
        <w:pStyle w:val="Heading2"/>
      </w:pPr>
      <w:r>
        <w:t xml:space="preserve">Étape 1 — Choisissez vos connecteurs</w:t>
      </w:r>
    </w:p>
    <w:p>
      <w:pPr>
        <w:pStyle w:val="FirstParagraph"/>
      </w:pPr>
      <w:r>
        <w:t xml:space="preserve">Cochez les systèmes que vous utilisez :</w:t>
      </w:r>
    </w:p>
    <w:p>
      <w:pPr>
        <w:numPr>
          <w:ilvl w:val="0"/>
          <w:numId w:val="1001"/>
        </w:numPr>
        <w:pStyle w:val="Compact"/>
      </w:pPr>
      <w:r>
        <w:t xml:space="preserve">☐ SAP S/4HANA</w:t>
      </w:r>
    </w:p>
    <w:p>
      <w:pPr>
        <w:numPr>
          <w:ilvl w:val="0"/>
          <w:numId w:val="1001"/>
        </w:numPr>
        <w:pStyle w:val="Compact"/>
      </w:pPr>
      <w:r>
        <w:t xml:space="preserve">☐ SAP SuccessFactors</w:t>
      </w:r>
    </w:p>
    <w:p>
      <w:pPr>
        <w:numPr>
          <w:ilvl w:val="0"/>
          <w:numId w:val="1001"/>
        </w:numPr>
        <w:pStyle w:val="Compact"/>
      </w:pPr>
      <w:r>
        <w:t xml:space="preserve">☐ Oracle Fusion</w:t>
      </w:r>
    </w:p>
    <w:p>
      <w:pPr>
        <w:numPr>
          <w:ilvl w:val="0"/>
          <w:numId w:val="1001"/>
        </w:numPr>
        <w:pStyle w:val="Compact"/>
      </w:pPr>
      <w:r>
        <w:t xml:space="preserve">☐ NetSuite</w:t>
      </w:r>
    </w:p>
    <w:p>
      <w:pPr>
        <w:numPr>
          <w:ilvl w:val="0"/>
          <w:numId w:val="1001"/>
        </w:numPr>
        <w:pStyle w:val="Compact"/>
      </w:pPr>
      <w:r>
        <w:t xml:space="preserve">☐ Workday</w:t>
      </w:r>
    </w:p>
    <w:p>
      <w:pPr>
        <w:numPr>
          <w:ilvl w:val="0"/>
          <w:numId w:val="1001"/>
        </w:numPr>
        <w:pStyle w:val="Compact"/>
      </w:pPr>
      <w:r>
        <w:t xml:space="preserve">☐ BambooHR</w:t>
      </w:r>
    </w:p>
    <w:p>
      <w:pPr>
        <w:numPr>
          <w:ilvl w:val="0"/>
          <w:numId w:val="1001"/>
        </w:numPr>
        <w:pStyle w:val="Compact"/>
      </w:pPr>
      <w:r>
        <w:t xml:space="preserve">☐ Cegid Quadra / Cegid XRP</w:t>
      </w:r>
    </w:p>
    <w:p>
      <w:pPr>
        <w:numPr>
          <w:ilvl w:val="0"/>
          <w:numId w:val="1001"/>
        </w:numPr>
        <w:pStyle w:val="Compact"/>
      </w:pPr>
      <w:r>
        <w:t xml:space="preserve">☐ Pennylane</w:t>
      </w:r>
    </w:p>
    <w:p>
      <w:pPr>
        <w:numPr>
          <w:ilvl w:val="0"/>
          <w:numId w:val="1001"/>
        </w:numPr>
        <w:pStyle w:val="Compact"/>
      </w:pPr>
      <w:r>
        <w:t xml:space="preserve">☐ Schneider Electric (EcoStruxure)</w:t>
      </w:r>
    </w:p>
    <w:p>
      <w:pPr>
        <w:numPr>
          <w:ilvl w:val="0"/>
          <w:numId w:val="1001"/>
        </w:numPr>
        <w:pStyle w:val="Compact"/>
      </w:pPr>
      <w:r>
        <w:t xml:space="preserve">☐ Enedis (données de consommation électrique)</w:t>
      </w:r>
    </w:p>
    <w:p>
      <w:pPr>
        <w:numPr>
          <w:ilvl w:val="0"/>
          <w:numId w:val="1001"/>
        </w:numPr>
        <w:pStyle w:val="Compact"/>
      </w:pPr>
      <w:r>
        <w:t xml:space="preserve">☐ EDF Entreprises (données énergie)</w:t>
      </w:r>
    </w:p>
    <w:p>
      <w:pPr>
        <w:numPr>
          <w:ilvl w:val="0"/>
          <w:numId w:val="1001"/>
        </w:numPr>
        <w:pStyle w:val="Compact"/>
      </w:pPr>
      <w:r>
        <w:t xml:space="preserve">☐ Carbon Interface (émissions carbone)</w:t>
      </w:r>
    </w:p>
    <w:p>
      <w:pPr>
        <w:numPr>
          <w:ilvl w:val="0"/>
          <w:numId w:val="1001"/>
        </w:numPr>
        <w:pStyle w:val="Compact"/>
      </w:pPr>
      <w:r>
        <w:t xml:space="preserve">☐ Climatiq API (facteurs d’émission)</w:t>
      </w:r>
    </w:p>
    <w:p>
      <w:r>
        <w:pict>
          <v:rect style="width:0;height:1.5pt" o:hralign="center" o:hrstd="t" o:hr="t"/>
        </w:pict>
      </w:r>
    </w:p>
    <w:bookmarkEnd w:id="21"/>
    <w:bookmarkStart w:id="39" w:name="étape-2-préparez-les-accès-par-système"/>
    <w:p>
      <w:pPr>
        <w:pStyle w:val="Heading2"/>
      </w:pPr>
      <w:r>
        <w:t xml:space="preserve">Étape 2 — Préparez les accès par système</w:t>
      </w:r>
    </w:p>
    <w:p>
      <w:r>
        <w:pict>
          <v:rect style="width:0;height:1.5pt" o:hralign="center" o:hrstd="t" o:hr="t"/>
        </w:pict>
      </w:r>
    </w:p>
    <w:bookmarkStart w:id="22" w:name="sap-s4hana"/>
    <w:p>
      <w:pPr>
        <w:pStyle w:val="Heading3"/>
      </w:pPr>
      <w:r>
        <w:t xml:space="preserve">🔷 SAP S/4HANA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Administrateur SAP Basis / DSI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 Ouvrir la transaction</w:t>
      </w:r>
      <w:r>
        <w:t xml:space="preserve"> </w:t>
      </w:r>
      <w:r>
        <w:rPr>
          <w:bCs/>
          <w:b/>
        </w:rPr>
        <w:t xml:space="preserve">SM59</w:t>
      </w:r>
      <w:r>
        <w:t xml:space="preserve"> </w:t>
      </w:r>
      <w:r>
        <w:t xml:space="preserve">(connexions RFC)</w:t>
      </w:r>
      <w:r>
        <w:t xml:space="preserve"> </w:t>
      </w:r>
      <w:r>
        <w:t xml:space="preserve">2. Créer un utilisateur de service de type</w:t>
      </w:r>
      <w:r>
        <w:t xml:space="preserve"> </w:t>
      </w:r>
      <w:r>
        <w:t xml:space="preserve">“</w:t>
      </w:r>
      <w:r>
        <w:t xml:space="preserve">Communication</w:t>
      </w:r>
      <w:r>
        <w:t xml:space="preserve">”</w:t>
      </w:r>
      <w:r>
        <w:t xml:space="preserve"> </w:t>
      </w:r>
      <w:r>
        <w:t xml:space="preserve">(transaction SU01)</w:t>
      </w:r>
      <w:r>
        <w:t xml:space="preserve"> </w:t>
      </w:r>
      <w:r>
        <w:t xml:space="preserve">3. Lui attribuer le rôle</w:t>
      </w:r>
      <w:r>
        <w:t xml:space="preserve"> </w:t>
      </w:r>
      <w:r>
        <w:rPr>
          <w:rStyle w:val="VerbatimChar"/>
        </w:rPr>
        <w:t xml:space="preserve">/IWFND/RT_GW_USER</w:t>
      </w:r>
      <w:r>
        <w:t xml:space="preserve"> </w:t>
      </w:r>
      <w:r>
        <w:t xml:space="preserve">ou un rôle équivalent avec accès OData</w:t>
      </w:r>
      <w:r>
        <w:t xml:space="preserve"> </w:t>
      </w:r>
      <w:r>
        <w:t xml:space="preserve">4. Activer le service OData correspondant dans</w:t>
      </w:r>
      <w:r>
        <w:t xml:space="preserve"> </w:t>
      </w:r>
      <w:r>
        <w:rPr>
          <w:bCs/>
          <w:b/>
        </w:rPr>
        <w:t xml:space="preserve">SOAMANAGER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/IWFND/MAINT_SERVICE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URL du système SAP |</w:t>
      </w:r>
      <w:r>
        <w:t xml:space="preserve"> </w:t>
      </w:r>
      <w:r>
        <w:rPr>
          <w:rStyle w:val="VerbatimChar"/>
        </w:rPr>
        <w:t xml:space="preserve">https://votre-sap.domaine.com</w:t>
      </w:r>
      <w:r>
        <w:t xml:space="preserve"> </w:t>
      </w:r>
      <w:r>
        <w:t xml:space="preserve">|</w:t>
      </w:r>
      <w:r>
        <w:t xml:space="preserve"> </w:t>
      </w:r>
      <w:r>
        <w:t xml:space="preserve">| Client SAP (Mandant) | ex.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|</w:t>
      </w:r>
      <w:r>
        <w:t xml:space="preserve"> </w:t>
      </w:r>
      <w:r>
        <w:t xml:space="preserve">| Nom d’utilisateur du compte de service | |</w:t>
      </w:r>
      <w:r>
        <w:t xml:space="preserve"> </w:t>
      </w:r>
      <w:r>
        <w:t xml:space="preserve">| Mot de passe du compte de service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2 à 5 jours ouvrés (création du compte + activation service)</w:t>
      </w:r>
    </w:p>
    <w:p>
      <w:r>
        <w:pict>
          <v:rect style="width:0;height:1.5pt" o:hralign="center" o:hrstd="t" o:hr="t"/>
        </w:pict>
      </w:r>
    </w:p>
    <w:bookmarkEnd w:id="22"/>
    <w:bookmarkStart w:id="23" w:name="sap-successfactors"/>
    <w:p>
      <w:pPr>
        <w:pStyle w:val="Heading3"/>
      </w:pPr>
      <w:r>
        <w:t xml:space="preserve">🔷 SAP SuccessFactors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Administrateur SuccessFactors / RH IT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 Aller dans</w:t>
      </w:r>
      <w:r>
        <w:t xml:space="preserve"> </w:t>
      </w:r>
      <w:r>
        <w:rPr>
          <w:bCs/>
          <w:b/>
        </w:rPr>
        <w:t xml:space="preserve">Admin Center → OAuth2 Client Application</w:t>
      </w:r>
      <w:r>
        <w:t xml:space="preserve"> </w:t>
      </w:r>
      <w:r>
        <w:t xml:space="preserve">2. Cliquer sur</w:t>
      </w:r>
      <w:r>
        <w:t xml:space="preserve"> </w:t>
      </w:r>
      <w:r>
        <w:t xml:space="preserve">“</w:t>
      </w:r>
      <w:r>
        <w:t xml:space="preserve">Register Client Application</w:t>
      </w:r>
      <w:r>
        <w:t xml:space="preserve">”</w:t>
      </w:r>
      <w:r>
        <w:t xml:space="preserve"> </w:t>
      </w:r>
      <w:r>
        <w:t xml:space="preserve">3. Donner un nom (</w:t>
      </w:r>
      <w:r>
        <w:rPr>
          <w:rStyle w:val="VerbatimChar"/>
        </w:rPr>
        <w:t xml:space="preserve">ESGFlow Integration</w:t>
      </w:r>
      <w:r>
        <w:t xml:space="preserve">)</w:t>
      </w:r>
      <w:r>
        <w:t xml:space="preserve"> </w:t>
      </w:r>
      <w:r>
        <w:t xml:space="preserve">4. Cocher les scopes :</w:t>
      </w:r>
      <w:r>
        <w:t xml:space="preserve"> </w:t>
      </w:r>
      <w:r>
        <w:rPr>
          <w:rStyle w:val="VerbatimChar"/>
        </w:rPr>
        <w:t xml:space="preserve">read_user_data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read_org_data</w:t>
      </w:r>
      <w:r>
        <w:t xml:space="preserve"> </w:t>
      </w:r>
      <w:r>
        <w:t xml:space="preserve">5. Enregistrer → récupérer le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et générer le</w:t>
      </w:r>
      <w:r>
        <w:t xml:space="preserve"> </w:t>
      </w:r>
      <w:r>
        <w:rPr>
          <w:bCs/>
          <w:b/>
        </w:rPr>
        <w:t xml:space="preserve">Secret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URL de l’instance SuccessFactors |</w:t>
      </w:r>
      <w:r>
        <w:t xml:space="preserve"> </w:t>
      </w:r>
      <w:r>
        <w:rPr>
          <w:rStyle w:val="VerbatimChar"/>
        </w:rPr>
        <w:t xml:space="preserve">https://api4.successfactors.com</w:t>
      </w:r>
      <w:r>
        <w:t xml:space="preserve"> </w:t>
      </w:r>
      <w:r>
        <w:t xml:space="preserve">|</w:t>
      </w:r>
      <w:r>
        <w:t xml:space="preserve"> </w:t>
      </w:r>
      <w:r>
        <w:t xml:space="preserve">| Company ID | ex.</w:t>
      </w:r>
      <w:r>
        <w:t xml:space="preserve"> </w:t>
      </w:r>
      <w:r>
        <w:rPr>
          <w:rStyle w:val="VerbatimChar"/>
        </w:rPr>
        <w:t xml:space="preserve">SFPART000000</w:t>
      </w:r>
      <w:r>
        <w:t xml:space="preserve"> </w:t>
      </w:r>
      <w:r>
        <w:t xml:space="preserve">|</w:t>
      </w:r>
      <w:r>
        <w:t xml:space="preserve"> </w:t>
      </w:r>
      <w:r>
        <w:t xml:space="preserve">| Client ID (OAuth2) | |</w:t>
      </w:r>
      <w:r>
        <w:t xml:space="preserve"> </w:t>
      </w:r>
      <w:r>
        <w:t xml:space="preserve">| Client Secret (OAuth2)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1 à 3 jours ouvrés</w:t>
      </w:r>
    </w:p>
    <w:p>
      <w:r>
        <w:pict>
          <v:rect style="width:0;height:1.5pt" o:hralign="center" o:hrstd="t" o:hr="t"/>
        </w:pict>
      </w:r>
    </w:p>
    <w:bookmarkEnd w:id="23"/>
    <w:bookmarkStart w:id="24" w:name="oracle-fusion-cloud"/>
    <w:p>
      <w:pPr>
        <w:pStyle w:val="Heading3"/>
      </w:pPr>
      <w:r>
        <w:t xml:space="preserve">🔷 Oracle Fusion Cloud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Administrateur Oracle Cloud / DSI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 Aller dans</w:t>
      </w:r>
      <w:r>
        <w:t xml:space="preserve"> </w:t>
      </w:r>
      <w:r>
        <w:rPr>
          <w:bCs/>
          <w:b/>
        </w:rPr>
        <w:t xml:space="preserve">Security → OAuth2 → Register Application</w:t>
      </w:r>
      <w:r>
        <w:t xml:space="preserve"> </w:t>
      </w:r>
      <w:r>
        <w:t xml:space="preserve">2. Type :</w:t>
      </w:r>
      <w:r>
        <w:t xml:space="preserve"> </w:t>
      </w:r>
      <w:r>
        <w:t xml:space="preserve">“</w:t>
      </w:r>
      <w:r>
        <w:t xml:space="preserve">Client Credentials</w:t>
      </w:r>
      <w:r>
        <w:t xml:space="preserve">”</w:t>
      </w:r>
      <w:r>
        <w:t xml:space="preserve"> </w:t>
      </w:r>
      <w:r>
        <w:t xml:space="preserve">3. Accorder les scopes REST API nécessaires (Finance, HCM selon besoins)</w:t>
      </w:r>
      <w:r>
        <w:t xml:space="preserve"> </w:t>
      </w:r>
      <w:r>
        <w:t xml:space="preserve">4. Récupérer le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Client Secret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URL de base Oracle Fusion |</w:t>
      </w:r>
      <w:r>
        <w:t xml:space="preserve"> </w:t>
      </w:r>
      <w:r>
        <w:rPr>
          <w:rStyle w:val="VerbatimChar"/>
        </w:rPr>
        <w:t xml:space="preserve">https://votreinstance.fa.oraclecloud.com</w:t>
      </w:r>
      <w:r>
        <w:t xml:space="preserve"> </w:t>
      </w:r>
      <w:r>
        <w:t xml:space="preserve">|</w:t>
      </w:r>
      <w:r>
        <w:t xml:space="preserve"> </w:t>
      </w:r>
      <w:r>
        <w:t xml:space="preserve">| Client ID | |</w:t>
      </w:r>
      <w:r>
        <w:t xml:space="preserve"> </w:t>
      </w:r>
      <w:r>
        <w:t xml:space="preserve">| Client Secret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2 à 5 jours ouvrés</w:t>
      </w:r>
    </w:p>
    <w:p>
      <w:r>
        <w:pict>
          <v:rect style="width:0;height:1.5pt" o:hralign="center" o:hrstd="t" o:hr="t"/>
        </w:pict>
      </w:r>
    </w:p>
    <w:bookmarkEnd w:id="24"/>
    <w:bookmarkStart w:id="25" w:name="netsuite"/>
    <w:p>
      <w:pPr>
        <w:pStyle w:val="Heading3"/>
      </w:pPr>
      <w:r>
        <w:t xml:space="preserve">🔷 NetSuite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Administrateur NetSuite / Finance IT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Setup → Integrations → Manage Integrations → New</w:t>
      </w:r>
      <w:r>
        <w:t xml:space="preserve"> </w:t>
      </w:r>
      <w:r>
        <w:t xml:space="preserve">2. Cocher</w:t>
      </w:r>
      <w:r>
        <w:t xml:space="preserve"> </w:t>
      </w:r>
      <w:r>
        <w:t xml:space="preserve">“</w:t>
      </w:r>
      <w:r>
        <w:t xml:space="preserve">Token-Based Authentication</w:t>
      </w:r>
      <w:r>
        <w:t xml:space="preserve">”</w:t>
      </w:r>
      <w:r>
        <w:t xml:space="preserve"> </w:t>
      </w:r>
      <w:r>
        <w:t xml:space="preserve">3. Récupérer le</w:t>
      </w:r>
      <w:r>
        <w:t xml:space="preserve"> </w:t>
      </w:r>
      <w:r>
        <w:rPr>
          <w:bCs/>
          <w:b/>
        </w:rPr>
        <w:t xml:space="preserve">Consumer Key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Consumer Secret</w:t>
      </w:r>
      <w:r>
        <w:t xml:space="preserve"> </w:t>
      </w:r>
      <w:r>
        <w:t xml:space="preserve">4. Créer un rôle dédié avec accès aux records financiers en lecture</w:t>
      </w:r>
      <w:r>
        <w:t xml:space="preserve"> </w:t>
      </w:r>
      <w:r>
        <w:t xml:space="preserve">5. Créer un</w:t>
      </w:r>
      <w:r>
        <w:t xml:space="preserve"> </w:t>
      </w:r>
      <w:r>
        <w:rPr>
          <w:bCs/>
          <w:b/>
        </w:rPr>
        <w:t xml:space="preserve">Access Token</w:t>
      </w:r>
      <w:r>
        <w:t xml:space="preserve"> </w:t>
      </w:r>
      <w:r>
        <w:t xml:space="preserve">(Setup → Users/Roles → Access Tokens)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Account ID NetSuite | ex.</w:t>
      </w:r>
      <w:r>
        <w:t xml:space="preserve"> </w:t>
      </w:r>
      <w:r>
        <w:rPr>
          <w:rStyle w:val="VerbatimChar"/>
        </w:rPr>
        <w:t xml:space="preserve">1234567</w:t>
      </w:r>
      <w:r>
        <w:t xml:space="preserve"> </w:t>
      </w:r>
      <w:r>
        <w:t xml:space="preserve">|</w:t>
      </w:r>
      <w:r>
        <w:t xml:space="preserve"> </w:t>
      </w:r>
      <w:r>
        <w:t xml:space="preserve">| Consumer Key | |</w:t>
      </w:r>
      <w:r>
        <w:t xml:space="preserve"> </w:t>
      </w:r>
      <w:r>
        <w:t xml:space="preserve">| Consumer Secret | |</w:t>
      </w:r>
      <w:r>
        <w:t xml:space="preserve"> </w:t>
      </w:r>
      <w:r>
        <w:t xml:space="preserve">| Token ID | |</w:t>
      </w:r>
      <w:r>
        <w:t xml:space="preserve"> </w:t>
      </w:r>
      <w:r>
        <w:t xml:space="preserve">| Token Secret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2 à 4 jours ouvrés</w:t>
      </w:r>
    </w:p>
    <w:p>
      <w:r>
        <w:pict>
          <v:rect style="width:0;height:1.5pt" o:hralign="center" o:hrstd="t" o:hr="t"/>
        </w:pict>
      </w:r>
    </w:p>
    <w:bookmarkEnd w:id="25"/>
    <w:bookmarkStart w:id="26" w:name="workday"/>
    <w:p>
      <w:pPr>
        <w:pStyle w:val="Heading3"/>
      </w:pPr>
      <w:r>
        <w:t xml:space="preserve">🔷 Workday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Administrateur Workday / RH IT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 Aller dans</w:t>
      </w:r>
      <w:r>
        <w:t xml:space="preserve"> </w:t>
      </w:r>
      <w:r>
        <w:rPr>
          <w:bCs/>
          <w:b/>
        </w:rPr>
        <w:t xml:space="preserve">System → API Clients → Register API Client</w:t>
      </w:r>
      <w:r>
        <w:t xml:space="preserve"> </w:t>
      </w:r>
      <w:r>
        <w:t xml:space="preserve">2. Type :</w:t>
      </w:r>
      <w:r>
        <w:t xml:space="preserve"> </w:t>
      </w:r>
      <w:r>
        <w:t xml:space="preserve">“</w:t>
      </w:r>
      <w:r>
        <w:t xml:space="preserve">Integration System Client</w:t>
      </w:r>
      <w:r>
        <w:t xml:space="preserve">”</w:t>
      </w:r>
      <w:r>
        <w:t xml:space="preserve"> </w:t>
      </w:r>
      <w:r>
        <w:t xml:space="preserve">3. Nommer le client</w:t>
      </w:r>
      <w:r>
        <w:t xml:space="preserve"> </w:t>
      </w:r>
      <w:r>
        <w:rPr>
          <w:rStyle w:val="VerbatimChar"/>
        </w:rPr>
        <w:t xml:space="preserve">ESGFlow</w:t>
      </w:r>
      <w:r>
        <w:t xml:space="preserve"> </w:t>
      </w:r>
      <w:r>
        <w:t xml:space="preserve">4. Accorder les scopes : Human Capital Management (lecture), Financial Management (lecture)</w:t>
      </w:r>
      <w:r>
        <w:t xml:space="preserve"> </w:t>
      </w:r>
      <w:r>
        <w:t xml:space="preserve">5. Récupérer le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et générer un</w:t>
      </w:r>
      <w:r>
        <w:t xml:space="preserve"> </w:t>
      </w:r>
      <w:r>
        <w:rPr>
          <w:bCs/>
          <w:b/>
        </w:rPr>
        <w:t xml:space="preserve">Client Secret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Tenant URL Workday |</w:t>
      </w:r>
      <w:r>
        <w:t xml:space="preserve"> </w:t>
      </w:r>
      <w:r>
        <w:rPr>
          <w:rStyle w:val="VerbatimChar"/>
        </w:rPr>
        <w:t xml:space="preserve">https://wd3.myworkday.com/votre-entreprise</w:t>
      </w:r>
      <w:r>
        <w:t xml:space="preserve"> </w:t>
      </w:r>
      <w:r>
        <w:t xml:space="preserve">|</w:t>
      </w:r>
      <w:r>
        <w:t xml:space="preserve"> </w:t>
      </w:r>
      <w:r>
        <w:t xml:space="preserve">| Client ID | |</w:t>
      </w:r>
      <w:r>
        <w:t xml:space="preserve"> </w:t>
      </w:r>
      <w:r>
        <w:t xml:space="preserve">| Client Secret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2 à 5 jours ouvrés</w:t>
      </w:r>
    </w:p>
    <w:p>
      <w:r>
        <w:pict>
          <v:rect style="width:0;height:1.5pt" o:hralign="center" o:hrstd="t" o:hr="t"/>
        </w:pict>
      </w:r>
    </w:p>
    <w:bookmarkEnd w:id="26"/>
    <w:bookmarkStart w:id="27" w:name="bamboohr"/>
    <w:p>
      <w:pPr>
        <w:pStyle w:val="Heading3"/>
      </w:pPr>
      <w:r>
        <w:t xml:space="preserve">🔷 BambooHR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Administrateur BambooHR / RH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 Se connecter à BambooHR avec un compte admin</w:t>
      </w:r>
      <w:r>
        <w:t xml:space="preserve"> </w:t>
      </w:r>
      <w:r>
        <w:t xml:space="preserve">2. Cliquer sur le prénom (en haut à droite) →</w:t>
      </w:r>
      <w:r>
        <w:t xml:space="preserve"> </w:t>
      </w:r>
      <w:r>
        <w:rPr>
          <w:bCs/>
          <w:b/>
        </w:rPr>
        <w:t xml:space="preserve">API Keys</w:t>
      </w:r>
      <w:r>
        <w:t xml:space="preserve"> </w:t>
      </w:r>
      <w:r>
        <w:t xml:space="preserve">3. Cliquer sur</w:t>
      </w:r>
      <w:r>
        <w:t xml:space="preserve"> </w:t>
      </w:r>
      <w:r>
        <w:t xml:space="preserve">“</w:t>
      </w:r>
      <w:r>
        <w:t xml:space="preserve">Add New Key</w:t>
      </w:r>
      <w:r>
        <w:t xml:space="preserve">”</w:t>
      </w:r>
      <w:r>
        <w:t xml:space="preserve"> </w:t>
      </w:r>
      <w:r>
        <w:t xml:space="preserve">4. Nommer la clé</w:t>
      </w:r>
      <w:r>
        <w:t xml:space="preserve"> </w:t>
      </w:r>
      <w:r>
        <w:rPr>
          <w:rStyle w:val="VerbatimChar"/>
        </w:rPr>
        <w:t xml:space="preserve">ESGFlow</w:t>
      </w:r>
      <w:r>
        <w:t xml:space="preserve"> </w:t>
      </w:r>
      <w:r>
        <w:t xml:space="preserve">→ copier la clé générée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Sous-domaine BambooHR | ex.</w:t>
      </w:r>
      <w:r>
        <w:t xml:space="preserve"> </w:t>
      </w:r>
      <w:r>
        <w:rPr>
          <w:rStyle w:val="VerbatimChar"/>
        </w:rPr>
        <w:t xml:space="preserve">votre-entreprise</w:t>
      </w:r>
      <w:r>
        <w:t xml:space="preserve"> </w:t>
      </w:r>
      <w:r>
        <w:t xml:space="preserve">(depuis</w:t>
      </w:r>
      <w:r>
        <w:t xml:space="preserve"> </w:t>
      </w:r>
      <w:r>
        <w:rPr>
          <w:rStyle w:val="VerbatimChar"/>
        </w:rPr>
        <w:t xml:space="preserve">votre-entreprise.bamboohr.com</w:t>
      </w:r>
      <w:r>
        <w:t xml:space="preserve">) |</w:t>
      </w:r>
      <w:r>
        <w:t xml:space="preserve"> </w:t>
      </w:r>
      <w:r>
        <w:t xml:space="preserve">| Clé API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27"/>
    <w:bookmarkStart w:id="28" w:name="cegid-quadra-cegid-xrp"/>
    <w:p>
      <w:pPr>
        <w:pStyle w:val="Heading3"/>
      </w:pPr>
      <w:r>
        <w:t xml:space="preserve">🔷 Cegid Quadra / Cegid XRP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Votre revendeur Cegid ou administrateur Cegid</w:t>
      </w:r>
    </w:p>
    <w:p>
      <w:pPr>
        <w:pStyle w:val="BodyText"/>
      </w:pPr>
      <w:r>
        <w:rPr>
          <w:bCs/>
          <w:b/>
        </w:rPr>
        <w:t xml:space="preserve">Ce qu’il faut faire :</w:t>
      </w:r>
      <w:r>
        <w:t xml:space="preserve"> </w:t>
      </w:r>
      <w:r>
        <w:t xml:space="preserve">1. Contacter votre</w:t>
      </w:r>
      <w:r>
        <w:t xml:space="preserve"> </w:t>
      </w:r>
      <w:r>
        <w:rPr>
          <w:bCs/>
          <w:b/>
        </w:rPr>
        <w:t xml:space="preserve">revendeur Cegid</w:t>
      </w:r>
      <w:r>
        <w:t xml:space="preserve"> </w:t>
      </w:r>
      <w:r>
        <w:t xml:space="preserve">ou le support Cegid</w:t>
      </w:r>
      <w:r>
        <w:t xml:space="preserve"> </w:t>
      </w:r>
      <w:r>
        <w:t xml:space="preserve">2. Demander l’activation du module</w:t>
      </w:r>
      <w:r>
        <w:t xml:space="preserve"> </w:t>
      </w:r>
      <w:r>
        <w:rPr>
          <w:bCs/>
          <w:b/>
        </w:rPr>
        <w:t xml:space="preserve">Web Services / API REST</w:t>
      </w:r>
      <w:r>
        <w:t xml:space="preserve"> </w:t>
      </w:r>
      <w:r>
        <w:t xml:space="preserve">3. Créer un utilisateur technique avec accès lecture aux modules Comptabilité et Paie</w:t>
      </w:r>
      <w:r>
        <w:t xml:space="preserve"> </w:t>
      </w:r>
      <w:r>
        <w:t xml:space="preserve">4. Demander les paramètres de connexion API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URL de l’API Cegid | |</w:t>
      </w:r>
      <w:r>
        <w:t xml:space="preserve"> </w:t>
      </w:r>
      <w:r>
        <w:t xml:space="preserve">| Identifiant technique | |</w:t>
      </w:r>
      <w:r>
        <w:t xml:space="preserve"> </w:t>
      </w:r>
      <w:r>
        <w:t xml:space="preserve">| Mot de passe / Token | |</w:t>
      </w:r>
      <w:r>
        <w:t xml:space="preserve"> </w:t>
      </w:r>
      <w:r>
        <w:t xml:space="preserve">| Dossier comptable (code)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5 à 10 jours ouvrés (dépend du revendeur)</w:t>
      </w:r>
    </w:p>
    <w:p>
      <w:r>
        <w:pict>
          <v:rect style="width:0;height:1.5pt" o:hralign="center" o:hrstd="t" o:hr="t"/>
        </w:pict>
      </w:r>
    </w:p>
    <w:bookmarkEnd w:id="28"/>
    <w:bookmarkStart w:id="29" w:name="pennylane"/>
    <w:p>
      <w:pPr>
        <w:pStyle w:val="Heading3"/>
      </w:pPr>
      <w:r>
        <w:t xml:space="preserve">🔷 Pennylane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Comptable / Directeur Financier / Admin Pennylane</w:t>
      </w:r>
    </w:p>
    <w:p>
      <w:pPr>
        <w:pStyle w:val="BodyText"/>
      </w:pPr>
      <w:r>
        <w:rPr>
          <w:bCs/>
          <w:b/>
        </w:rPr>
        <w:t xml:space="preserve">Ce qu’il faut créer :</w:t>
      </w:r>
      <w:r>
        <w:t xml:space="preserve"> </w:t>
      </w:r>
      <w:r>
        <w:t xml:space="preserve">1. Se connecter à Pennylane</w:t>
      </w:r>
      <w:r>
        <w:t xml:space="preserve"> </w:t>
      </w:r>
      <w:r>
        <w:t xml:space="preserve">2. Aller dans</w:t>
      </w:r>
      <w:r>
        <w:t xml:space="preserve"> </w:t>
      </w:r>
      <w:r>
        <w:rPr>
          <w:bCs/>
          <w:b/>
        </w:rPr>
        <w:t xml:space="preserve">Paramètres → Intégrations → API</w:t>
      </w:r>
      <w:r>
        <w:t xml:space="preserve"> </w:t>
      </w:r>
      <w:r>
        <w:t xml:space="preserve">3. Cliquer sur</w:t>
      </w:r>
      <w:r>
        <w:t xml:space="preserve"> </w:t>
      </w:r>
      <w:r>
        <w:t xml:space="preserve">“</w:t>
      </w:r>
      <w:r>
        <w:t xml:space="preserve">Générer un token</w:t>
      </w:r>
      <w:r>
        <w:t xml:space="preserve">”</w:t>
      </w:r>
      <w:r>
        <w:t xml:space="preserve"> </w:t>
      </w:r>
      <w:r>
        <w:t xml:space="preserve">4. Nommer le token</w:t>
      </w:r>
      <w:r>
        <w:t xml:space="preserve"> </w:t>
      </w:r>
      <w:r>
        <w:rPr>
          <w:rStyle w:val="VerbatimChar"/>
        </w:rPr>
        <w:t xml:space="preserve">ESGFlow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Token API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29"/>
    <w:bookmarkStart w:id="31" w:name="Xcac159a08c10084709fdd9e4924622ba0bcd594"/>
    <w:p>
      <w:pPr>
        <w:pStyle w:val="Heading3"/>
      </w:pPr>
      <w:r>
        <w:t xml:space="preserve">🔷 Enedis (données de consommation électrique)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Responsable Énergie / Facility Manager</w:t>
      </w:r>
    </w:p>
    <w:p>
      <w:pPr>
        <w:pStyle w:val="BodyText"/>
      </w:pPr>
      <w:r>
        <w:rPr>
          <w:bCs/>
          <w:b/>
        </w:rPr>
        <w:t xml:space="preserve">Ce qu’il faut faire :</w:t>
      </w:r>
      <w:r>
        <w:t xml:space="preserve"> </w:t>
      </w:r>
      <w:r>
        <w:t xml:space="preserve">1. Aller sur</w:t>
      </w:r>
      <w:r>
        <w:t xml:space="preserve"> </w:t>
      </w:r>
      <w:hyperlink r:id="rId30">
        <w:r>
          <w:rPr>
            <w:rStyle w:val="Hyperlink"/>
            <w:bCs/>
            <w:b/>
          </w:rPr>
          <w:t xml:space="preserve">datahub-enedis.fr</w:t>
        </w:r>
      </w:hyperlink>
      <w:r>
        <w:t xml:space="preserve"> </w:t>
      </w:r>
      <w:r>
        <w:t xml:space="preserve">2. Se connecter avec les identifiants de l’entreprise (SIRET requis)</w:t>
      </w:r>
      <w:r>
        <w:t xml:space="preserve"> </w:t>
      </w:r>
      <w:r>
        <w:t xml:space="preserve">3. Aller dans</w:t>
      </w:r>
      <w:r>
        <w:t xml:space="preserve"> </w:t>
      </w:r>
      <w:r>
        <w:rPr>
          <w:bCs/>
          <w:b/>
        </w:rPr>
        <w:t xml:space="preserve">Espace Pro → Mes applications → Créer une application</w:t>
      </w:r>
      <w:r>
        <w:t xml:space="preserve"> </w:t>
      </w:r>
      <w:r>
        <w:t xml:space="preserve">4. Sélectionner les données : Courbes de charge, Index, Données contractuelles</w:t>
      </w:r>
      <w:r>
        <w:t xml:space="preserve"> </w:t>
      </w:r>
      <w:r>
        <w:t xml:space="preserve">5. Récupérer le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Client Secret</w:t>
      </w:r>
      <w:r>
        <w:t xml:space="preserve"> </w:t>
      </w:r>
      <w:r>
        <w:t xml:space="preserve">OAuth2</w:t>
      </w:r>
    </w:p>
    <w:p>
      <w:pPr>
        <w:pStyle w:val="BodyText"/>
      </w:pPr>
      <w:r>
        <w:rPr>
          <w:bCs/>
          <w:b/>
        </w:rPr>
        <w:t xml:space="preserve">⚠️ Important :</w:t>
      </w:r>
      <w:r>
        <w:t xml:space="preserve"> </w:t>
      </w:r>
      <w:r>
        <w:t xml:space="preserve">Préparer la liste de tous vos</w:t>
      </w:r>
      <w:r>
        <w:t xml:space="preserve"> </w:t>
      </w:r>
      <w:r>
        <w:rPr>
          <w:bCs/>
          <w:b/>
        </w:rPr>
        <w:t xml:space="preserve">Points De Livraison (PDL)</w:t>
      </w:r>
      <w:r>
        <w:t xml:space="preserve"> </w:t>
      </w:r>
      <w:r>
        <w:t xml:space="preserve">— numéros à 14 chiffres sur vos factures EDF/Enedis.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Client ID Enedis | |</w:t>
      </w:r>
      <w:r>
        <w:t xml:space="preserve"> </w:t>
      </w:r>
      <w:r>
        <w:t xml:space="preserve">| Client Secret Enedis | |</w:t>
      </w:r>
      <w:r>
        <w:t xml:space="preserve"> </w:t>
      </w:r>
      <w:r>
        <w:t xml:space="preserve">| Liste des PDL (numéros à 14 chiffres)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5 à 10 jours ouvrés (validation Enedis)</w:t>
      </w:r>
    </w:p>
    <w:p>
      <w:r>
        <w:pict>
          <v:rect style="width:0;height:1.5pt" o:hralign="center" o:hrstd="t" o:hr="t"/>
        </w:pict>
      </w:r>
    </w:p>
    <w:bookmarkEnd w:id="31"/>
    <w:bookmarkStart w:id="32" w:name="edf-entreprises"/>
    <w:p>
      <w:pPr>
        <w:pStyle w:val="Heading3"/>
      </w:pPr>
      <w:r>
        <w:t xml:space="preserve">🔷 EDF Entreprises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Responsable Énergie / Acheteur Énergie</w:t>
      </w:r>
    </w:p>
    <w:p>
      <w:pPr>
        <w:pStyle w:val="BodyText"/>
      </w:pPr>
      <w:r>
        <w:rPr>
          <w:bCs/>
          <w:b/>
        </w:rPr>
        <w:t xml:space="preserve">Ce qu’il faut faire :</w:t>
      </w:r>
      <w:r>
        <w:t xml:space="preserve"> </w:t>
      </w:r>
      <w:r>
        <w:t xml:space="preserve">1. Contacter votre</w:t>
      </w:r>
      <w:r>
        <w:t xml:space="preserve"> </w:t>
      </w:r>
      <w:r>
        <w:rPr>
          <w:bCs/>
          <w:b/>
        </w:rPr>
        <w:t xml:space="preserve">chargé de compte EDF Pro</w:t>
      </w:r>
      <w:r>
        <w:t xml:space="preserve"> </w:t>
      </w:r>
      <w:r>
        <w:t xml:space="preserve">2. Demander l’accès à l’</w:t>
      </w:r>
      <w:r>
        <w:rPr>
          <w:bCs/>
          <w:b/>
        </w:rPr>
        <w:t xml:space="preserve">API EDF Entreprises</w:t>
      </w:r>
      <w:r>
        <w:t xml:space="preserve"> </w:t>
      </w:r>
      <w:r>
        <w:t xml:space="preserve">(portail B2B)</w:t>
      </w:r>
      <w:r>
        <w:t xml:space="preserve"> </w:t>
      </w:r>
      <w:r>
        <w:t xml:space="preserve">3. Fournir votre SIRET et la liste des sites concernés</w:t>
      </w:r>
      <w:r>
        <w:t xml:space="preserve"> </w:t>
      </w:r>
      <w:r>
        <w:t xml:space="preserve">4. EDF vous enverra les credentials par email sécurisé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Client ID EDF API | |</w:t>
      </w:r>
      <w:r>
        <w:t xml:space="preserve"> </w:t>
      </w:r>
      <w:r>
        <w:t xml:space="preserve">| Client Secret EDF API | |</w:t>
      </w:r>
      <w:r>
        <w:t xml:space="preserve"> </w:t>
      </w:r>
      <w:r>
        <w:t xml:space="preserve">| Périmètre sites (liste)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7 à 15 jours ouvrés</w:t>
      </w:r>
    </w:p>
    <w:p>
      <w:r>
        <w:pict>
          <v:rect style="width:0;height:1.5pt" o:hralign="center" o:hrstd="t" o:hr="t"/>
        </w:pict>
      </w:r>
    </w:p>
    <w:bookmarkEnd w:id="32"/>
    <w:bookmarkStart w:id="34" w:name="schneider-electric-ecostruxure"/>
    <w:p>
      <w:pPr>
        <w:pStyle w:val="Heading3"/>
      </w:pPr>
      <w:r>
        <w:t xml:space="preserve">🔷 Schneider Electric — EcoStruxure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Responsable Technique / Facility Manager</w:t>
      </w:r>
    </w:p>
    <w:p>
      <w:pPr>
        <w:pStyle w:val="BodyText"/>
      </w:pPr>
      <w:r>
        <w:rPr>
          <w:bCs/>
          <w:b/>
        </w:rPr>
        <w:t xml:space="preserve">Ce qu’il faut faire :</w:t>
      </w:r>
      <w:r>
        <w:t xml:space="preserve"> </w:t>
      </w:r>
      <w:r>
        <w:t xml:space="preserve">1. Aller sur</w:t>
      </w:r>
      <w:r>
        <w:t xml:space="preserve"> </w:t>
      </w:r>
      <w:hyperlink r:id="rId33">
        <w:r>
          <w:rPr>
            <w:rStyle w:val="Hyperlink"/>
            <w:bCs/>
            <w:b/>
          </w:rPr>
          <w:t xml:space="preserve">exchange.se.com</w:t>
        </w:r>
      </w:hyperlink>
      <w:r>
        <w:t xml:space="preserve"> </w:t>
      </w:r>
      <w:r>
        <w:t xml:space="preserve">2. Créer un compte développeur</w:t>
      </w:r>
      <w:r>
        <w:t xml:space="preserve"> </w:t>
      </w:r>
      <w:r>
        <w:t xml:space="preserve">3. Aller dans</w:t>
      </w:r>
      <w:r>
        <w:t xml:space="preserve"> </w:t>
      </w:r>
      <w:r>
        <w:rPr>
          <w:bCs/>
          <w:b/>
        </w:rPr>
        <w:t xml:space="preserve">My Apps → Register Application</w:t>
      </w:r>
      <w:r>
        <w:t xml:space="preserve"> </w:t>
      </w:r>
      <w:r>
        <w:t xml:space="preserve">4. Sélectionner les APIs : EcoStruxure Asset Advisor ou Energy Hub selon votre équipement</w:t>
      </w:r>
      <w:r>
        <w:t xml:space="preserve"> </w:t>
      </w:r>
      <w:r>
        <w:t xml:space="preserve">5. Récupérer la</w:t>
      </w:r>
      <w:r>
        <w:t xml:space="preserve"> </w:t>
      </w:r>
      <w:r>
        <w:rPr>
          <w:bCs/>
          <w:b/>
        </w:rPr>
        <w:t xml:space="preserve">Subscription Key</w:t>
      </w:r>
      <w:r>
        <w:t xml:space="preserve"> </w:t>
      </w:r>
      <w:r>
        <w:t xml:space="preserve">(API Key)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Subscription Key | |</w:t>
      </w:r>
      <w:r>
        <w:t xml:space="preserve"> </w:t>
      </w:r>
      <w:r>
        <w:t xml:space="preserve">| URL de base EcoStruxure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2 à 5 jours ouvrés</w:t>
      </w:r>
    </w:p>
    <w:p>
      <w:r>
        <w:pict>
          <v:rect style="width:0;height:1.5pt" o:hralign="center" o:hrstd="t" o:hr="t"/>
        </w:pict>
      </w:r>
    </w:p>
    <w:bookmarkEnd w:id="34"/>
    <w:bookmarkStart w:id="36" w:name="carbon-interface"/>
    <w:p>
      <w:pPr>
        <w:pStyle w:val="Heading3"/>
      </w:pPr>
      <w:r>
        <w:t xml:space="preserve">🟢 Carbon Interface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Vous-même (compte plateforme)</w:t>
      </w:r>
    </w:p>
    <w:p>
      <w:pPr>
        <w:pStyle w:val="BodyText"/>
      </w:pPr>
      <w:r>
        <w:rPr>
          <w:bCs/>
          <w:b/>
        </w:rPr>
        <w:t xml:space="preserve">Ce qu’il faut faire :</w:t>
      </w:r>
      <w:r>
        <w:t xml:space="preserve"> </w:t>
      </w:r>
      <w:r>
        <w:t xml:space="preserve">1. Aller sur</w:t>
      </w:r>
      <w:r>
        <w:t xml:space="preserve"> </w:t>
      </w:r>
      <w:hyperlink r:id="rId35">
        <w:r>
          <w:rPr>
            <w:rStyle w:val="Hyperlink"/>
            <w:bCs/>
            <w:b/>
          </w:rPr>
          <w:t xml:space="preserve">app.carboninterface.com</w:t>
        </w:r>
      </w:hyperlink>
      <w:r>
        <w:t xml:space="preserve"> </w:t>
      </w:r>
      <w:r>
        <w:t xml:space="preserve">2. Créer un compte (gratuit pour démarrer)</w:t>
      </w:r>
      <w:r>
        <w:t xml:space="preserve"> </w:t>
      </w:r>
      <w:r>
        <w:t xml:space="preserve">3. Dashboard →</w:t>
      </w:r>
      <w:r>
        <w:t xml:space="preserve"> </w:t>
      </w:r>
      <w:r>
        <w:rPr>
          <w:bCs/>
          <w:b/>
        </w:rPr>
        <w:t xml:space="preserve">API Key</w:t>
      </w:r>
      <w:r>
        <w:t xml:space="preserve"> </w:t>
      </w:r>
      <w:r>
        <w:t xml:space="preserve">→ copier la clé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Clé API Carbon Interface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36"/>
    <w:bookmarkStart w:id="38" w:name="climatiq-api"/>
    <w:p>
      <w:pPr>
        <w:pStyle w:val="Heading3"/>
      </w:pPr>
      <w:r>
        <w:t xml:space="preserve">🟢 Climatiq API</w:t>
      </w:r>
    </w:p>
    <w:p>
      <w:pPr>
        <w:pStyle w:val="FirstParagraph"/>
      </w:pPr>
      <w:r>
        <w:rPr>
          <w:bCs/>
          <w:b/>
        </w:rPr>
        <w:t xml:space="preserve">Qui s’en charge :</w:t>
      </w:r>
      <w:r>
        <w:t xml:space="preserve"> </w:t>
      </w:r>
      <w:r>
        <w:t xml:space="preserve">Vous-même (compte plateforme)</w:t>
      </w:r>
    </w:p>
    <w:p>
      <w:pPr>
        <w:pStyle w:val="BodyText"/>
      </w:pPr>
      <w:r>
        <w:rPr>
          <w:bCs/>
          <w:b/>
        </w:rPr>
        <w:t xml:space="preserve">Ce qu’il faut faire :</w:t>
      </w:r>
      <w:r>
        <w:t xml:space="preserve"> </w:t>
      </w:r>
      <w:r>
        <w:t xml:space="preserve">1. Aller sur</w:t>
      </w:r>
      <w:r>
        <w:t xml:space="preserve"> </w:t>
      </w:r>
      <w:hyperlink r:id="rId37">
        <w:r>
          <w:rPr>
            <w:rStyle w:val="Hyperlink"/>
            <w:bCs/>
            <w:b/>
          </w:rPr>
          <w:t xml:space="preserve">app.climatiq.io</w:t>
        </w:r>
      </w:hyperlink>
      <w:r>
        <w:t xml:space="preserve"> </w:t>
      </w:r>
      <w:r>
        <w:t xml:space="preserve">2. S’inscrire →</w:t>
      </w:r>
      <w:r>
        <w:t xml:space="preserve"> </w:t>
      </w:r>
      <w:r>
        <w:rPr>
          <w:bCs/>
          <w:b/>
        </w:rPr>
        <w:t xml:space="preserve">API Keys → Create new key</w:t>
      </w:r>
      <w:r>
        <w:t xml:space="preserve"> </w:t>
      </w:r>
      <w:r>
        <w:t xml:space="preserve">3. Nommer la clé</w:t>
      </w:r>
      <w:r>
        <w:t xml:space="preserve"> </w:t>
      </w:r>
      <w:r>
        <w:rPr>
          <w:rStyle w:val="VerbatimChar"/>
        </w:rPr>
        <w:t xml:space="preserve">ESGFlow</w:t>
      </w:r>
    </w:p>
    <w:p>
      <w:pPr>
        <w:pStyle w:val="BodyText"/>
      </w:pPr>
      <w:r>
        <w:rPr>
          <w:bCs/>
          <w:b/>
        </w:rPr>
        <w:t xml:space="preserve">Informations à nous transmettre :</w:t>
      </w:r>
      <w:r>
        <w:t xml:space="preserve"> </w:t>
      </w:r>
      <w:r>
        <w:t xml:space="preserve">| Champ | Valeur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Clé API Climatiq | |</w:t>
      </w:r>
    </w:p>
    <w:p>
      <w:pPr>
        <w:pStyle w:val="BodyText"/>
      </w:pPr>
      <w:r>
        <w:rPr>
          <w:bCs/>
          <w:b/>
        </w:rPr>
        <w:t xml:space="preserve">Délai estimé :</w:t>
      </w:r>
      <w:r>
        <w:t xml:space="preserve"> </w:t>
      </w: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étape-3-nous-transmettre-les-accès"/>
    <w:p>
      <w:pPr>
        <w:pStyle w:val="Heading2"/>
      </w:pPr>
      <w:r>
        <w:t xml:space="preserve">Étape 3 — Nous transmettre les accès</w:t>
      </w:r>
    </w:p>
    <w:p>
      <w:pPr>
        <w:pStyle w:val="FirstParagraph"/>
      </w:pPr>
      <w:r>
        <w:t xml:space="preserve">Transmettez les informations collectées</w:t>
      </w:r>
      <w:r>
        <w:t xml:space="preserve"> </w:t>
      </w:r>
      <w:r>
        <w:rPr>
          <w:bCs/>
          <w:b/>
        </w:rPr>
        <w:t xml:space="preserve">de manière sécurisée</w:t>
      </w:r>
      <w:r>
        <w:t xml:space="preserve"> </w:t>
      </w:r>
      <w:r>
        <w:t xml:space="preserve">:</w:t>
      </w:r>
    </w:p>
    <w:p>
      <w:pPr>
        <w:pStyle w:val="BlockText"/>
      </w:pPr>
      <w:r>
        <w:t xml:space="preserve">✉️</w:t>
      </w:r>
      <w:r>
        <w:t xml:space="preserve"> </w:t>
      </w:r>
      <w:r>
        <w:rPr>
          <w:bCs/>
          <w:b/>
        </w:rPr>
        <w:t xml:space="preserve">Ne jamais envoyer les clés API par email en clair.</w:t>
      </w:r>
    </w:p>
    <w:p>
      <w:pPr>
        <w:pStyle w:val="BlockText"/>
      </w:pPr>
      <w:r>
        <w:t xml:space="preserve">Utilisez l’un de ces moyens sécurisés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Bitwarden Send</w:t>
      </w:r>
      <w:r>
        <w:t xml:space="preserve"> </w:t>
      </w:r>
      <w:r>
        <w:t xml:space="preserve">(envoi chiffré gratuit) :</w:t>
      </w:r>
      <w:r>
        <w:t xml:space="preserve"> </w:t>
      </w:r>
      <w:hyperlink r:id="rId40">
        <w:r>
          <w:rPr>
            <w:rStyle w:val="Hyperlink"/>
          </w:rPr>
          <w:t xml:space="preserve">send.bitwarden.com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1Password</w:t>
      </w:r>
      <w:r>
        <w:t xml:space="preserve"> </w:t>
      </w:r>
      <w:r>
        <w:t xml:space="preserve">(si votre entreprise l’utilise)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Fichier chiffré</w:t>
      </w:r>
      <w:r>
        <w:t xml:space="preserve"> </w:t>
      </w:r>
      <w:r>
        <w:t xml:space="preserve">(7-Zip AES-256) transmis par email avec mot de passe par SMS</w:t>
      </w:r>
    </w:p>
    <w:p>
      <w:pPr>
        <w:pStyle w:val="FirstParagraph"/>
      </w:pPr>
      <w:r>
        <w:t xml:space="preserve">Contact de votre Customer Success Manager :</w:t>
      </w:r>
      <w:r>
        <w:t xml:space="preserve"> </w:t>
      </w:r>
      <w:r>
        <w:rPr>
          <w:bCs/>
          <w:b/>
        </w:rPr>
        <w:t xml:space="preserve">[À compléter]</w:t>
      </w:r>
    </w:p>
    <w:p>
      <w:r>
        <w:pict>
          <v:rect style="width:0;height:1.5pt" o:hralign="center" o:hrstd="t" o:hr="t"/>
        </w:pict>
      </w:r>
    </w:p>
    <w:bookmarkEnd w:id="41"/>
    <w:bookmarkStart w:id="42" w:name="récapitulatif-des-délais"/>
    <w:p>
      <w:pPr>
        <w:pStyle w:val="Heading2"/>
      </w:pPr>
      <w:r>
        <w:t xml:space="preserve">Récapitulatif des délais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Pennylane, BambooHR, Carbon Interface, Climatiq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RH / Vous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SuccessFactors, Workday, Enedis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à 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IT / Énergie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S/4HANA, Oracle, NetSuite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à 10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EDF, Cegid, Schneider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à 15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Énergie / Revendeur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questions-fréquentes"/>
    <w:p>
      <w:pPr>
        <w:pStyle w:val="Heading2"/>
      </w:pPr>
      <w:r>
        <w:t xml:space="preserve">Questions fréquentes</w:t>
      </w:r>
    </w:p>
    <w:p>
      <w:pPr>
        <w:pStyle w:val="FirstParagraph"/>
      </w:pPr>
      <w:r>
        <w:rPr>
          <w:bCs/>
          <w:b/>
        </w:rPr>
        <w:t xml:space="preserve">Q : Faut-il créer de nouveaux comptes ou utiliser des comptes existants ?</w:t>
      </w:r>
      <w:r>
        <w:t xml:space="preserve"> </w:t>
      </w:r>
      <w:r>
        <w:t xml:space="preserve">&gt; Pour les ERP, nous recommandons de créer un</w:t>
      </w:r>
      <w:r>
        <w:t xml:space="preserve"> </w:t>
      </w:r>
      <w:r>
        <w:rPr>
          <w:bCs/>
          <w:b/>
        </w:rPr>
        <w:t xml:space="preserve">utilisateur de service dédié</w:t>
      </w:r>
      <w:r>
        <w:t xml:space="preserve"> </w:t>
      </w:r>
      <w:r>
        <w:t xml:space="preserve">(non nominatif) avec les droits minimum nécessaires en lecture. Cela évite les interruptions si un employé quitte l’entreprise.</w:t>
      </w:r>
    </w:p>
    <w:p>
      <w:pPr>
        <w:pStyle w:val="BodyText"/>
      </w:pPr>
      <w:r>
        <w:rPr>
          <w:bCs/>
          <w:b/>
        </w:rPr>
        <w:t xml:space="preserve">Q : ESGFlow a-t-il accès en écriture à nos systèmes ?</w:t>
      </w:r>
      <w:r>
        <w:t xml:space="preserve"> </w:t>
      </w:r>
      <w:r>
        <w:t xml:space="preserve">&gt; Non. Tous les connecteurs fonctionnent en</w:t>
      </w:r>
      <w:r>
        <w:t xml:space="preserve"> </w:t>
      </w:r>
      <w:r>
        <w:rPr>
          <w:bCs/>
          <w:b/>
        </w:rPr>
        <w:t xml:space="preserve">lecture seule</w:t>
      </w:r>
      <w:r>
        <w:t xml:space="preserve">. ESGFlow récupère des données pour les consolider dans votre tableau de bord ESG — il n’écrit rien dans vos systèmes sources.</w:t>
      </w:r>
    </w:p>
    <w:p>
      <w:pPr>
        <w:pStyle w:val="BodyText"/>
      </w:pPr>
      <w:r>
        <w:rPr>
          <w:bCs/>
          <w:b/>
        </w:rPr>
        <w:t xml:space="preserve">Q : Les données transitent-elles par vos serveurs ?</w:t>
      </w:r>
      <w:r>
        <w:t xml:space="preserve"> </w:t>
      </w:r>
      <w:r>
        <w:t xml:space="preserve">&gt; Oui, les données transitent par notre infrastructure hébergée en Europe (RGPD). Elles sont chiffrées en transit (TLS 1.3) et au repos (AES-256). Voir notre politique de confidentialité et le DPA disponible sur demande.</w:t>
      </w:r>
    </w:p>
    <w:p>
      <w:pPr>
        <w:pStyle w:val="BodyText"/>
      </w:pPr>
      <w:r>
        <w:rPr>
          <w:bCs/>
          <w:b/>
        </w:rPr>
        <w:t xml:space="preserve">Q : Puis-je révoquer un accès à tout moment ?</w:t>
      </w:r>
      <w:r>
        <w:t xml:space="preserve"> </w:t>
      </w:r>
      <w:r>
        <w:t xml:space="preserve">&gt; Oui. Vous pouvez désactiver un connecteur depuis votre plateforme ESGFlow à tout moment, ou révoquer directement la clé API dans le système source.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préparé par GreenConnect — ESGFlow</w:t>
      </w:r>
      <w:r>
        <w:t xml:space="preserve"> </w:t>
      </w:r>
      <w:r>
        <w:rPr>
          <w:iCs/>
          <w:i/>
        </w:rPr>
        <w:t xml:space="preserve">Pour toute question : support@greenconnect.cloud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pp.carboninterface.com" TargetMode="External" /><Relationship Type="http://schemas.openxmlformats.org/officeDocument/2006/relationships/hyperlink" Id="rId37" Target="https://app.climatiq.io" TargetMode="External" /><Relationship Type="http://schemas.openxmlformats.org/officeDocument/2006/relationships/hyperlink" Id="rId30" Target="https://datahub-enedis.fr" TargetMode="External" /><Relationship Type="http://schemas.openxmlformats.org/officeDocument/2006/relationships/hyperlink" Id="rId33" Target="https://exchange.se.com" TargetMode="External" /><Relationship Type="http://schemas.openxmlformats.org/officeDocument/2006/relationships/hyperlink" Id="rId40" Target="https://send.bitwarde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pp.carboninterface.com" TargetMode="External" /><Relationship Type="http://schemas.openxmlformats.org/officeDocument/2006/relationships/hyperlink" Id="rId37" Target="https://app.climatiq.io" TargetMode="External" /><Relationship Type="http://schemas.openxmlformats.org/officeDocument/2006/relationships/hyperlink" Id="rId30" Target="https://datahub-enedis.fr" TargetMode="External" /><Relationship Type="http://schemas.openxmlformats.org/officeDocument/2006/relationships/hyperlink" Id="rId33" Target="https://exchange.se.com" TargetMode="External" /><Relationship Type="http://schemas.openxmlformats.org/officeDocument/2006/relationships/hyperlink" Id="rId40" Target="https://send.bitwarde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2026-05-04T17:58:01Z</dcterms:created>
  <dcterms:modified xsi:type="dcterms:W3CDTF">2026-05-04T17:58:01Z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