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94BAE" w:rsidRPr="0008429D" w:rsidRDefault="00B94BAE"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94BAE" w:rsidRPr="0008429D" w:rsidRDefault="00B94BAE"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94BAE" w:rsidRPr="006D3770" w:rsidRDefault="00B94BAE"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B94BAE" w:rsidRPr="00D41669" w:rsidRDefault="00B94BAE"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94BAE" w:rsidRPr="006D3770" w:rsidRDefault="00B94BAE"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B94BAE" w:rsidRPr="00D41669" w:rsidRDefault="00B94BAE"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94BAE" w:rsidRPr="00302833" w:rsidRDefault="00B94BAE"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94BAE" w:rsidRPr="00302833" w:rsidRDefault="00B94BAE"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B94BAE" w:rsidRPr="00FE162A" w:rsidRDefault="00B94BAE"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B94BAE" w:rsidRPr="00FE162A" w:rsidRDefault="00B94BAE"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B94BAE" w:rsidP="00DD104A">
      <w:pPr>
        <w:pStyle w:val="Otroformato"/>
        <w:rPr>
          <w:szCs w:val="24"/>
        </w:rPr>
      </w:pPr>
      <w:sdt>
        <w:sdtPr>
          <w:id w:val="-1900820909"/>
          <w:placeholder>
            <w:docPart w:val="5E81B0CB5D954D0BAABD624351A76A44"/>
          </w:placeholder>
          <w:text/>
        </w:sdt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avance</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B95489" w:rsidRDefault="00B95489" w:rsidP="00D26D52">
      <w:pPr>
        <w:rPr>
          <w:sz w:val="24"/>
          <w:szCs w:val="24"/>
        </w:rPr>
      </w:pPr>
      <w:r>
        <w:rPr>
          <w:sz w:val="24"/>
          <w:szCs w:val="24"/>
        </w:rPr>
        <w:t>En este trabajo se presenta un sistema</w:t>
      </w:r>
      <w:r w:rsidR="004D3C31">
        <w:rPr>
          <w:sz w:val="24"/>
          <w:szCs w:val="24"/>
        </w:rPr>
        <w:t xml:space="preserve"> de potencia</w:t>
      </w:r>
      <w:r>
        <w:rPr>
          <w:sz w:val="24"/>
          <w:szCs w:val="24"/>
        </w:rPr>
        <w:t xml:space="preserve"> tipo dos máquinas</w:t>
      </w:r>
      <w:r w:rsidR="004D3C31">
        <w:rPr>
          <w:sz w:val="24"/>
          <w:szCs w:val="24"/>
        </w:rPr>
        <w:t xml:space="preserve"> conectado mediante una línea corta,</w:t>
      </w:r>
      <w:r>
        <w:rPr>
          <w:sz w:val="24"/>
          <w:szCs w:val="24"/>
        </w:rPr>
        <w:t xml:space="preserve"> en el cual se estudia su estado sin compensar, para luego compensar reactivos</w:t>
      </w:r>
      <w:r w:rsidR="005F43F3">
        <w:rPr>
          <w:sz w:val="24"/>
          <w:szCs w:val="24"/>
        </w:rPr>
        <w:t xml:space="preserve"> a un cuarto de la línea de transmisión,</w:t>
      </w:r>
      <w:r>
        <w:rPr>
          <w:sz w:val="24"/>
          <w:szCs w:val="24"/>
        </w:rPr>
        <w:t xml:space="preserve"> de dos formas. Primero utilizando un compensador estático de reactivos (SVC) y luego utilizando condensador serie controlado a tiristor (TCSC)</w:t>
      </w:r>
      <w:r w:rsidR="005F43F3">
        <w:rPr>
          <w:sz w:val="24"/>
          <w:szCs w:val="24"/>
        </w:rPr>
        <w:t xml:space="preserve">. Se </w:t>
      </w:r>
      <w:r w:rsidR="004D3C31">
        <w:rPr>
          <w:sz w:val="24"/>
          <w:szCs w:val="24"/>
        </w:rPr>
        <w:t>trabaja</w:t>
      </w:r>
      <w:r w:rsidR="005F43F3">
        <w:rPr>
          <w:sz w:val="24"/>
          <w:szCs w:val="24"/>
        </w:rPr>
        <w:t xml:space="preserve"> de forma teórica y</w:t>
      </w:r>
      <w:r w:rsidR="004D3C31">
        <w:rPr>
          <w:sz w:val="24"/>
          <w:szCs w:val="24"/>
        </w:rPr>
        <w:t xml:space="preserve"> luego se comprueba con lo</w:t>
      </w:r>
      <w:r w:rsidR="005F43F3">
        <w:rPr>
          <w:sz w:val="24"/>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B94BAE">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B94BAE">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B94BAE">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B94BAE">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B94BAE">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B94BAE">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4D3C31" w:rsidP="00CF0E8E">
      <w:pPr>
        <w:pStyle w:val="Ttulo1"/>
      </w:pPr>
      <w:r>
        <w:lastRenderedPageBreak/>
        <w:t>Sistema sin compensar</w:t>
      </w:r>
      <w:r w:rsidR="00970890" w:rsidRPr="00413B04">
        <w:t xml:space="preserve"> </w:t>
      </w:r>
    </w:p>
    <w:p w:rsidR="00866C77" w:rsidRDefault="004D3C31" w:rsidP="00D26D52">
      <w:pPr>
        <w:rPr>
          <w:sz w:val="24"/>
          <w:szCs w:val="24"/>
        </w:rPr>
      </w:pPr>
      <w:r>
        <w:rPr>
          <w:sz w:val="24"/>
          <w:szCs w:val="24"/>
        </w:rPr>
        <w:t>Se presenta el sistema a trabajar. Se pide calcular el ángulo de carga en el punto P y simular para los diferentes grados de carga y verificar los niveles de tensión en el punto P.</w:t>
      </w:r>
    </w:p>
    <w:p w:rsidR="00B94BAE" w:rsidRDefault="00B94BAE"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0.7pt;height:163.25pt">
            <v:imagedata r:id="rId21" o:title="FIG1"/>
          </v:shape>
        </w:pict>
      </w:r>
      <w:r>
        <w:rPr>
          <w:sz w:val="24"/>
          <w:szCs w:val="24"/>
        </w:rPr>
        <w:br/>
        <w:t>Figura 1: Sistema sin compensar</w:t>
      </w:r>
    </w:p>
    <w:p w:rsidR="00B94BAE" w:rsidRPr="00B94BAE" w:rsidRDefault="00B94BAE" w:rsidP="00B94BAE">
      <w:pPr>
        <w:rPr>
          <w:rFonts w:ascii="Arial" w:eastAsiaTheme="minorEastAsia" w:hAnsi="Arial" w:cs="Arial"/>
          <w:sz w:val="24"/>
          <w:szCs w:val="24"/>
        </w:rPr>
      </w:pPr>
      <w:r w:rsidRPr="00B94BAE">
        <w:rPr>
          <w:rFonts w:ascii="Arial" w:eastAsiaTheme="minorEastAsia" w:hAnsi="Arial" w:cs="Arial"/>
          <w:sz w:val="24"/>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528"/>
      </w:tblGrid>
      <w:tr w:rsidR="00B94BAE" w:rsidRPr="00B94BAE" w:rsidTr="00B94BAE">
        <w:trPr>
          <w:trHeight w:val="2066"/>
        </w:trPr>
        <w:tc>
          <w:tcPr>
            <w:tcW w:w="483" w:type="dxa"/>
          </w:tcPr>
          <w:p w:rsidR="00B94BAE" w:rsidRPr="00B94BAE" w:rsidRDefault="00B94BAE" w:rsidP="00B94BAE">
            <w:pPr>
              <w:spacing w:after="160" w:line="259" w:lineRule="auto"/>
              <w:rPr>
                <w:rFonts w:ascii="Arial" w:eastAsiaTheme="minorEastAsia" w:hAnsi="Arial" w:cs="Arial"/>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e>
                </m:acc>
              </m:oMath>
            </m:oMathPara>
          </w:p>
          <w:p w:rsidR="00B94BAE" w:rsidRPr="00B94BAE" w:rsidRDefault="00B94BAE" w:rsidP="00B94BAE">
            <w:pPr>
              <w:spacing w:after="160" w:line="259" w:lineRule="auto"/>
              <w:rPr>
                <w:rFonts w:ascii="Arial" w:eastAsiaTheme="minorEastAsia" w:hAnsi="Arial" w:cs="Arial"/>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e>
                </m:acc>
                <m:r>
                  <w:rPr>
                    <w:rFonts w:ascii="Cambria Math" w:hAnsi="Cambria Math"/>
                    <w:sz w:val="24"/>
                    <w:szCs w:val="24"/>
                  </w:rPr>
                  <m:t xml:space="preserve">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 xml:space="preserve">X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 xml:space="preserve">V </m:t>
                </m:r>
              </m:oMath>
            </m:oMathPara>
          </w:p>
          <w:p w:rsidR="00B94BAE" w:rsidRPr="00B94BAE" w:rsidRDefault="00B94BAE" w:rsidP="00B94BAE">
            <w:pPr>
              <w:spacing w:after="160" w:line="259" w:lineRule="auto"/>
              <w:rPr>
                <w:rFonts w:ascii="Arial" w:eastAsiaTheme="minorEastAsia" w:hAnsi="Arial" w:cs="Arial"/>
                <w:sz w:val="24"/>
                <w:szCs w:val="24"/>
              </w:rPr>
            </w:pPr>
            <m:oMathPara>
              <m:oMath>
                <m:r>
                  <w:rPr>
                    <w:rFonts w:ascii="Cambria Math" w:hAnsi="Cambria Math"/>
                    <w:sz w:val="24"/>
                    <w:szCs w:val="24"/>
                  </w:rPr>
                  <m:t>δ</m:t>
                </m:r>
              </m:oMath>
            </m:oMathPara>
          </w:p>
        </w:tc>
        <w:tc>
          <w:tcPr>
            <w:tcW w:w="7528" w:type="dxa"/>
          </w:tcPr>
          <w:p w:rsidR="00B94BAE" w:rsidRPr="00B94BAE" w:rsidRDefault="00B94BAE" w:rsidP="00B94BAE">
            <w:pPr>
              <w:spacing w:after="160" w:line="259" w:lineRule="auto"/>
              <w:rPr>
                <w:rFonts w:ascii="Arial" w:eastAsiaTheme="minorEastAsia" w:hAnsi="Arial" w:cs="Arial"/>
                <w:sz w:val="24"/>
                <w:szCs w:val="24"/>
              </w:rPr>
            </w:pPr>
            <w:proofErr w:type="spellStart"/>
            <w:r w:rsidRPr="00B94BAE">
              <w:rPr>
                <w:rFonts w:ascii="Arial" w:eastAsiaTheme="minorEastAsia" w:hAnsi="Arial" w:cs="Arial"/>
                <w:sz w:val="24"/>
                <w:szCs w:val="24"/>
              </w:rPr>
              <w:t>Fasor</w:t>
            </w:r>
            <w:proofErr w:type="spellEnd"/>
            <w:r w:rsidRPr="00B94BAE">
              <w:rPr>
                <w:rFonts w:ascii="Arial" w:eastAsiaTheme="minorEastAsia" w:hAnsi="Arial" w:cs="Arial"/>
                <w:sz w:val="24"/>
                <w:szCs w:val="24"/>
              </w:rPr>
              <w:t xml:space="preserve"> de tensión fuente (extremo emisor)</w:t>
            </w:r>
          </w:p>
          <w:p w:rsidR="00B94BAE" w:rsidRPr="00B94BAE" w:rsidRDefault="00B94BAE" w:rsidP="00B94BAE">
            <w:pPr>
              <w:spacing w:after="160" w:line="259" w:lineRule="auto"/>
              <w:rPr>
                <w:rFonts w:ascii="Arial" w:eastAsiaTheme="minorEastAsia" w:hAnsi="Arial" w:cs="Arial"/>
                <w:sz w:val="24"/>
                <w:szCs w:val="24"/>
              </w:rPr>
            </w:pPr>
            <w:proofErr w:type="spellStart"/>
            <w:r w:rsidRPr="00B94BAE">
              <w:rPr>
                <w:rFonts w:ascii="Arial" w:eastAsiaTheme="minorEastAsia" w:hAnsi="Arial" w:cs="Arial"/>
                <w:sz w:val="24"/>
                <w:szCs w:val="24"/>
              </w:rPr>
              <w:t>Fasor</w:t>
            </w:r>
            <w:proofErr w:type="spellEnd"/>
            <w:r w:rsidRPr="00B94BAE">
              <w:rPr>
                <w:rFonts w:ascii="Arial" w:eastAsiaTheme="minorEastAsia" w:hAnsi="Arial" w:cs="Arial"/>
                <w:sz w:val="24"/>
                <w:szCs w:val="24"/>
              </w:rPr>
              <w:t xml:space="preserve"> de tensión carga (extremo receptor)</w:t>
            </w:r>
          </w:p>
          <w:p w:rsidR="00B94BAE" w:rsidRPr="00B94BAE" w:rsidRDefault="00B94BAE" w:rsidP="00B94BAE">
            <w:pPr>
              <w:spacing w:after="160" w:line="259" w:lineRule="auto"/>
              <w:rPr>
                <w:rFonts w:ascii="Arial" w:eastAsiaTheme="minorEastAsia" w:hAnsi="Arial" w:cs="Arial"/>
                <w:sz w:val="24"/>
                <w:szCs w:val="24"/>
              </w:rPr>
            </w:pPr>
            <w:r w:rsidRPr="00B94BAE">
              <w:rPr>
                <w:rFonts w:ascii="Arial" w:eastAsiaTheme="minorEastAsia" w:hAnsi="Arial" w:cs="Arial"/>
                <w:sz w:val="24"/>
                <w:szCs w:val="24"/>
              </w:rPr>
              <w:t>Reactancia de línea</w:t>
            </w:r>
          </w:p>
          <w:p w:rsidR="00B94BAE" w:rsidRPr="00B94BAE" w:rsidRDefault="00B94BAE" w:rsidP="00B94BAE">
            <w:pPr>
              <w:spacing w:after="160" w:line="259" w:lineRule="auto"/>
              <w:rPr>
                <w:rFonts w:ascii="Arial" w:eastAsiaTheme="minorEastAsia" w:hAnsi="Arial" w:cs="Arial"/>
                <w:sz w:val="24"/>
                <w:szCs w:val="24"/>
              </w:rPr>
            </w:pPr>
            <w:r w:rsidRPr="00B94BAE">
              <w:rPr>
                <w:rFonts w:ascii="Arial" w:eastAsiaTheme="minorEastAsia" w:hAnsi="Arial" w:cs="Arial"/>
                <w:sz w:val="24"/>
                <w:szCs w:val="24"/>
              </w:rPr>
              <w:t xml:space="preserve">Tensión eficaz </w:t>
            </w:r>
          </w:p>
          <w:p w:rsidR="00B94BAE" w:rsidRPr="00B94BAE" w:rsidRDefault="00C51789" w:rsidP="00B94BAE">
            <w:pPr>
              <w:spacing w:after="160" w:line="259" w:lineRule="auto"/>
              <w:rPr>
                <w:rFonts w:ascii="Arial" w:eastAsiaTheme="minorEastAsia" w:hAnsi="Arial" w:cs="Arial"/>
                <w:sz w:val="24"/>
                <w:szCs w:val="24"/>
              </w:rPr>
            </w:pPr>
            <w:r>
              <w:rPr>
                <w:rFonts w:ascii="Arial" w:eastAsiaTheme="minorEastAsia" w:hAnsi="Arial" w:cs="Arial"/>
                <w:sz w:val="24"/>
                <w:szCs w:val="24"/>
              </w:rPr>
              <w:t>Á</w:t>
            </w:r>
            <w:r w:rsidR="00B94BAE" w:rsidRPr="00B94BAE">
              <w:rPr>
                <w:rFonts w:ascii="Arial" w:eastAsiaTheme="minorEastAsia" w:hAnsi="Arial" w:cs="Arial"/>
                <w:sz w:val="24"/>
                <w:szCs w:val="24"/>
              </w:rPr>
              <w:t xml:space="preserve">ngulo de carga </w:t>
            </w:r>
          </w:p>
        </w:tc>
      </w:tr>
    </w:tbl>
    <w:p w:rsidR="00B94BAE" w:rsidRPr="00B94BAE" w:rsidRDefault="00B94BAE" w:rsidP="00B94BAE">
      <w:pPr>
        <w:rPr>
          <w:rFonts w:ascii="Arial" w:eastAsiaTheme="minorEastAsia" w:hAnsi="Arial" w:cs="Arial"/>
          <w:sz w:val="24"/>
          <w:szCs w:val="24"/>
        </w:rPr>
      </w:pPr>
      <w:r w:rsidRPr="00B94BAE">
        <w:rPr>
          <w:rFonts w:ascii="Arial" w:eastAsiaTheme="minorEastAsia" w:hAnsi="Arial" w:cs="Arial"/>
          <w:sz w:val="24"/>
          <w:szCs w:val="24"/>
        </w:rPr>
        <w:t>Si se tiene los siguientes datos:</w:t>
      </w:r>
    </w:p>
    <w:p w:rsidR="00B94BAE" w:rsidRPr="00B94BAE" w:rsidRDefault="00B94BAE"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max</m:t>
            </m:r>
          </m:sub>
        </m:sSub>
        <m:r>
          <w:rPr>
            <w:rFonts w:ascii="Cambria Math" w:eastAsiaTheme="minorEastAsia" w:hAnsi="Cambria Math" w:cs="Arial"/>
            <w:sz w:val="24"/>
            <w:szCs w:val="24"/>
          </w:rPr>
          <m:t>=35°</m:t>
        </m:r>
      </m:oMath>
      <w:r w:rsidRPr="00B94BAE">
        <w:rPr>
          <w:rFonts w:ascii="Arial" w:eastAsiaTheme="minorEastAsia" w:hAnsi="Arial" w:cs="Arial"/>
          <w:sz w:val="24"/>
          <w:szCs w:val="24"/>
        </w:rPr>
        <w:t xml:space="preserve"> Carga máxima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min</m:t>
            </m:r>
          </m:sub>
        </m:sSub>
        <m:r>
          <w:rPr>
            <w:rFonts w:ascii="Cambria Math" w:eastAsiaTheme="minorEastAsia" w:hAnsi="Cambria Math" w:cs="Arial"/>
            <w:sz w:val="24"/>
            <w:szCs w:val="24"/>
          </w:rPr>
          <m:t>=1°</m:t>
        </m:r>
      </m:oMath>
      <w:r w:rsidRPr="00B94BAE">
        <w:rPr>
          <w:rFonts w:ascii="Arial" w:eastAsiaTheme="minorEastAsia" w:hAnsi="Arial" w:cs="Arial"/>
          <w:sz w:val="24"/>
          <w:szCs w:val="24"/>
        </w:rPr>
        <w:t xml:space="preserve"> Carga mínima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δ</m:t>
            </m:r>
          </m:e>
          <m:sub>
            <m:r>
              <w:rPr>
                <w:rFonts w:ascii="Cambria Math" w:eastAsiaTheme="minorEastAsia" w:hAnsi="Cambria Math" w:cs="Arial"/>
                <w:sz w:val="24"/>
                <w:szCs w:val="24"/>
              </w:rPr>
              <m:t>nom</m:t>
            </m:r>
          </m:sub>
        </m:sSub>
        <m:r>
          <w:rPr>
            <w:rFonts w:ascii="Cambria Math" w:eastAsiaTheme="minorEastAsia" w:hAnsi="Cambria Math" w:cs="Arial"/>
            <w:sz w:val="24"/>
            <w:szCs w:val="24"/>
          </w:rPr>
          <m:t>=25°</m:t>
        </m:r>
      </m:oMath>
      <w:r w:rsidRPr="00B94BAE">
        <w:rPr>
          <w:rFonts w:ascii="Arial" w:eastAsiaTheme="minorEastAsia" w:hAnsi="Arial" w:cs="Arial"/>
          <w:sz w:val="24"/>
          <w:szCs w:val="24"/>
        </w:rPr>
        <w:t xml:space="preserve"> Carga nominal</w:t>
      </w:r>
    </w:p>
    <w:p w:rsidR="00B94BAE" w:rsidRPr="00B94BAE" w:rsidRDefault="00B94BAE"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1100</m:t>
            </m:r>
          </m:e>
          <m:sub>
            <m:r>
              <w:rPr>
                <w:rFonts w:ascii="Cambria Math" w:eastAsiaTheme="minorEastAsia" w:hAnsi="Cambria Math" w:cs="Arial"/>
                <w:sz w:val="24"/>
                <w:szCs w:val="24"/>
              </w:rPr>
              <m:t>ef</m:t>
            </m:r>
          </m:sub>
        </m:sSub>
        <m:r>
          <w:rPr>
            <w:rFonts w:ascii="Cambria Math" w:eastAsiaTheme="minorEastAsia" w:hAnsi="Cambria Math" w:cs="Arial"/>
            <w:sz w:val="24"/>
            <w:szCs w:val="24"/>
          </w:rPr>
          <m:t>∠0°</m:t>
        </m:r>
      </m:oMath>
      <w:r w:rsidRPr="00B94BAE">
        <w:rPr>
          <w:rFonts w:ascii="Arial" w:eastAsiaTheme="minorEastAsia" w:hAnsi="Arial" w:cs="Arial"/>
          <w:sz w:val="24"/>
          <w:szCs w:val="24"/>
        </w:rPr>
        <w:t xml:space="preserve"> [V]</w:t>
      </w:r>
    </w:p>
    <w:p w:rsidR="00B94BAE" w:rsidRPr="00B94BAE" w:rsidRDefault="00B94BAE" w:rsidP="00B94BAE">
      <w:pP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1100</m:t>
            </m:r>
          </m:e>
          <m:sub>
            <m:r>
              <w:rPr>
                <w:rFonts w:ascii="Cambria Math" w:eastAsiaTheme="minorEastAsia" w:hAnsi="Cambria Math" w:cs="Arial"/>
                <w:sz w:val="24"/>
                <w:szCs w:val="24"/>
              </w:rPr>
              <m:t>ef</m:t>
            </m:r>
          </m:sub>
        </m:sSub>
        <m:r>
          <w:rPr>
            <w:rFonts w:ascii="Cambria Math" w:eastAsiaTheme="minorEastAsia" w:hAnsi="Cambria Math" w:cs="Arial"/>
            <w:sz w:val="24"/>
            <w:szCs w:val="24"/>
          </w:rPr>
          <m:t>∠-δ°</m:t>
        </m:r>
      </m:oMath>
      <w:r w:rsidRPr="00B94BAE">
        <w:rPr>
          <w:rFonts w:ascii="Arial" w:eastAsiaTheme="minorEastAsia" w:hAnsi="Arial" w:cs="Arial"/>
          <w:sz w:val="24"/>
          <w:szCs w:val="24"/>
        </w:rPr>
        <w:t xml:space="preserve"> [V]</w:t>
      </w:r>
    </w:p>
    <w:p w:rsidR="00B94BAE" w:rsidRPr="00B94BAE" w:rsidRDefault="00B94BAE" w:rsidP="00B94BAE">
      <w:pPr>
        <w:rPr>
          <w:rFonts w:ascii="Arial" w:eastAsiaTheme="minorEastAsia" w:hAnsi="Arial" w:cs="Arial"/>
          <w:sz w:val="24"/>
          <w:szCs w:val="24"/>
        </w:rPr>
      </w:pPr>
      <w:r w:rsidRPr="00B94BAE">
        <w:rPr>
          <w:rFonts w:ascii="Arial" w:eastAsiaTheme="minorEastAsia" w:hAnsi="Arial" w:cs="Arial"/>
          <w:sz w:val="24"/>
          <w:szCs w:val="24"/>
        </w:rPr>
        <w:t>R = 1 [</w:t>
      </w:r>
      <w:proofErr w:type="spellStart"/>
      <w:r w:rsidRPr="00B94BAE">
        <w:rPr>
          <w:rFonts w:ascii="Arial" w:eastAsiaTheme="minorEastAsia" w:hAnsi="Arial" w:cs="Arial"/>
          <w:sz w:val="24"/>
          <w:szCs w:val="24"/>
        </w:rPr>
        <w:t>mΩ</w:t>
      </w:r>
      <w:proofErr w:type="spellEnd"/>
      <w:r w:rsidRPr="00B94BAE">
        <w:rPr>
          <w:rFonts w:ascii="Arial" w:eastAsiaTheme="minorEastAsia" w:hAnsi="Arial" w:cs="Arial"/>
          <w:sz w:val="24"/>
          <w:szCs w:val="24"/>
        </w:rPr>
        <w:t>]</w:t>
      </w:r>
    </w:p>
    <w:p w:rsidR="00B94BAE" w:rsidRPr="00B94BAE" w:rsidRDefault="00B94BAE" w:rsidP="00B94BAE">
      <w:pPr>
        <w:rPr>
          <w:rFonts w:ascii="Arial" w:eastAsiaTheme="minorEastAsia" w:hAnsi="Arial" w:cs="Arial"/>
          <w:sz w:val="24"/>
          <w:szCs w:val="24"/>
        </w:rPr>
      </w:pPr>
      <w:r w:rsidRPr="00B94BAE">
        <w:rPr>
          <w:rFonts w:ascii="Arial" w:eastAsiaTheme="minorEastAsia" w:hAnsi="Arial" w:cs="Arial"/>
          <w:sz w:val="24"/>
          <w:szCs w:val="24"/>
        </w:rPr>
        <w:t>L = 1800 [</w:t>
      </w:r>
      <w:proofErr w:type="spellStart"/>
      <w:r w:rsidRPr="00B94BAE">
        <w:rPr>
          <w:rFonts w:ascii="Arial" w:eastAsiaTheme="minorEastAsia" w:hAnsi="Arial" w:cs="Arial"/>
          <w:sz w:val="24"/>
          <w:szCs w:val="24"/>
        </w:rPr>
        <w:t>uH</w:t>
      </w:r>
      <w:proofErr w:type="spellEnd"/>
      <w:r w:rsidRPr="00B94BAE">
        <w:rPr>
          <w:rFonts w:ascii="Arial" w:eastAsiaTheme="minorEastAsia" w:hAnsi="Arial" w:cs="Arial"/>
          <w:sz w:val="24"/>
          <w:szCs w:val="24"/>
        </w:rPr>
        <w:t>]</w:t>
      </w:r>
    </w:p>
    <w:p w:rsidR="00970890" w:rsidRPr="00413B04" w:rsidRDefault="00C51789" w:rsidP="00970890">
      <w:pPr>
        <w:pStyle w:val="Ttulo2"/>
      </w:pPr>
      <w:r>
        <w:t>Cálculo del ángulo de carga en el punto P</w:t>
      </w:r>
    </w:p>
    <w:p w:rsidR="009E65E5" w:rsidRDefault="00C51789" w:rsidP="009E65E5">
      <w:pPr>
        <w:rPr>
          <w:rFonts w:eastAsiaTheme="minorEastAsia"/>
          <w:sz w:val="24"/>
          <w:szCs w:val="24"/>
        </w:rPr>
      </w:pPr>
      <w:r w:rsidRPr="00C51789">
        <w:rPr>
          <w:sz w:val="24"/>
          <w:szCs w:val="24"/>
        </w:rPr>
        <w:t xml:space="preserve">Para realizar este cálculo es importante mencionar que se despreciará la resistencia, puesto que su valor es muy pequeño comparado a la reactancia de la línea. Se busca obtener una expresión de </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m:t>
        </m:r>
      </m:oMath>
      <w:r>
        <w:rPr>
          <w:rFonts w:eastAsiaTheme="minorEastAsia"/>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p</m:t>
            </m:r>
          </m:sub>
        </m:sSub>
      </m:oMath>
      <w:r>
        <w:rPr>
          <w:rFonts w:eastAsiaTheme="minorEastAsia"/>
          <w:sz w:val="24"/>
          <w:szCs w:val="24"/>
        </w:rPr>
        <w:t xml:space="preserve"> en función del ángulo de carga.</w:t>
      </w:r>
    </w:p>
    <w:p w:rsidR="00C51789" w:rsidRDefault="00C51789" w:rsidP="009E65E5">
      <w:pPr>
        <w:rPr>
          <w:rFonts w:eastAsiaTheme="minorEastAsia"/>
          <w:sz w:val="24"/>
          <w:szCs w:val="24"/>
        </w:rPr>
      </w:pPr>
      <w:r>
        <w:rPr>
          <w:rFonts w:eastAsiaTheme="minorEastAsia"/>
          <w:sz w:val="24"/>
          <w:szCs w:val="24"/>
        </w:rPr>
        <w:t>Primero se busca una expresión de la corriente</w:t>
      </w:r>
      <w:r w:rsidRPr="008D64BC">
        <w:rPr>
          <w:rFonts w:eastAsiaTheme="minorEastAsia"/>
          <w:i/>
          <w:sz w:val="24"/>
          <w:szCs w:val="24"/>
        </w:rPr>
        <w:t xml:space="preserve"> I </w:t>
      </w:r>
      <w:r w:rsidR="008D64BC">
        <w:rPr>
          <w:rFonts w:eastAsiaTheme="minorEastAsia"/>
          <w:i/>
          <w:sz w:val="24"/>
          <w:szCs w:val="24"/>
        </w:rPr>
        <w:t xml:space="preserve"> </w:t>
      </w:r>
      <w:r>
        <w:rPr>
          <w:rFonts w:eastAsiaTheme="minorEastAsia"/>
          <w:sz w:val="24"/>
          <w:szCs w:val="24"/>
        </w:rPr>
        <w:t>que circula en la línea de transmisión</w:t>
      </w:r>
    </w:p>
    <w:p w:rsidR="00C51789" w:rsidRDefault="00C51789" w:rsidP="009E65E5">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eastAsiaTheme="minorEastAsia" w:hAnsi="Cambria Math"/>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m:t>
                      </m:r>
                    </m:sub>
                  </m:sSub>
                </m:e>
              </m:acc>
            </m:num>
            <m:den>
              <m:r>
                <w:rPr>
                  <w:rFonts w:ascii="Cambria Math" w:eastAsiaTheme="minorEastAsia" w:hAnsi="Cambria Math"/>
                  <w:sz w:val="24"/>
                  <w:szCs w:val="24"/>
                </w:rPr>
                <m:t>jX</m:t>
              </m:r>
            </m:den>
          </m:f>
        </m:oMath>
      </m:oMathPara>
    </w:p>
    <w:p w:rsidR="00C51789" w:rsidRDefault="008D64BC" w:rsidP="009E65E5">
      <w:pPr>
        <w:rPr>
          <w:rFonts w:eastAsiaTheme="minorEastAsia"/>
          <w:sz w:val="24"/>
          <w:szCs w:val="24"/>
        </w:rPr>
      </w:pPr>
      <w:r>
        <w:rPr>
          <w:sz w:val="24"/>
          <w:szCs w:val="24"/>
        </w:rPr>
        <w:t xml:space="preserve">Reemplazando por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hAnsi="Cambria Math" w:cs="Arial"/>
            <w:sz w:val="24"/>
            <w:szCs w:val="24"/>
          </w:rPr>
          <m:t>=V∠0°</m:t>
        </m:r>
      </m:oMath>
      <w:r>
        <w:rPr>
          <w:rFonts w:eastAsiaTheme="minorEastAsia"/>
          <w:sz w:val="24"/>
          <w:szCs w:val="24"/>
        </w:rPr>
        <w:t xml:space="preserve"> y</w:t>
      </w:r>
      <w:r w:rsidR="00AF3A9A">
        <w:rPr>
          <w:rFonts w:eastAsiaTheme="minorEastAsia"/>
          <w:sz w:val="24"/>
          <w:szCs w:val="24"/>
        </w:rPr>
        <w:t xml:space="preserve"> </w:t>
      </w:r>
      <w:r>
        <w:rPr>
          <w:rFonts w:eastAsiaTheme="minorEastAsia"/>
          <w:sz w:val="24"/>
          <w:szCs w:val="24"/>
        </w:rPr>
        <w:t xml:space="preserve">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r</m:t>
                </m:r>
              </m:sub>
            </m:sSub>
          </m:e>
        </m:acc>
        <m:r>
          <w:rPr>
            <w:rFonts w:ascii="Cambria Math" w:hAnsi="Cambria Math" w:cs="Arial"/>
            <w:sz w:val="24"/>
            <w:szCs w:val="24"/>
          </w:rPr>
          <m:t>=V∠-δ°</m:t>
        </m:r>
      </m:oMath>
      <w:r w:rsidR="00AF3A9A">
        <w:rPr>
          <w:rFonts w:eastAsiaTheme="minorEastAsia"/>
          <w:sz w:val="24"/>
          <w:szCs w:val="24"/>
        </w:rPr>
        <w:t xml:space="preserve"> en sus formas complejas:</w:t>
      </w:r>
    </w:p>
    <w:p w:rsidR="008D64BC" w:rsidRPr="008D64BC" w:rsidRDefault="008D64BC" w:rsidP="008D64BC">
      <w:pPr>
        <w:jc w:val="cente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V</m:t>
              </m:r>
              <m:r>
                <w:rPr>
                  <w:rFonts w:ascii="Cambria Math" w:eastAsiaTheme="minorEastAsia" w:hAnsi="Cambria Math"/>
                  <w:sz w:val="24"/>
                  <w:szCs w:val="24"/>
                </w:rPr>
                <m:t>(1-cos⁡(δ)+jsen(δ))</m:t>
              </m:r>
            </m:num>
            <m:den>
              <m:r>
                <w:rPr>
                  <w:rFonts w:ascii="Cambria Math" w:eastAsiaTheme="minorEastAsia" w:hAnsi="Cambria Math"/>
                  <w:sz w:val="24"/>
                  <w:szCs w:val="24"/>
                </w:rPr>
                <m:t>jX</m:t>
              </m:r>
            </m:den>
          </m:f>
        </m:oMath>
      </m:oMathPara>
    </w:p>
    <w:p w:rsidR="008D64BC" w:rsidRDefault="008D64BC" w:rsidP="008D64BC">
      <w:pPr>
        <w:rPr>
          <w:rFonts w:eastAsiaTheme="minorEastAsia"/>
          <w:sz w:val="24"/>
          <w:szCs w:val="24"/>
        </w:rPr>
      </w:pPr>
      <w:r>
        <w:rPr>
          <w:rFonts w:eastAsiaTheme="minorEastAsia"/>
          <w:sz w:val="24"/>
          <w:szCs w:val="24"/>
        </w:rPr>
        <w:t>Utilizando las identidades trigonométricas:</w:t>
      </w:r>
    </w:p>
    <w:p w:rsidR="008D64BC" w:rsidRDefault="008D64BC" w:rsidP="008D64BC">
      <w:pPr>
        <w:rPr>
          <w:rFonts w:ascii="Arial" w:eastAsiaTheme="minorEastAsia" w:hAnsi="Arial" w:cs="Arial"/>
          <w:sz w:val="24"/>
          <w:szCs w:val="24"/>
        </w:rPr>
      </w:pPr>
      <w:r>
        <w:rPr>
          <w:rFonts w:eastAsiaTheme="minorEastAsia"/>
          <w:sz w:val="24"/>
          <w:szCs w:val="24"/>
        </w:rPr>
        <w:t xml:space="preserve"> </w:t>
      </w:r>
      <m:oMath>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r>
                  <w:rPr>
                    <w:rFonts w:ascii="Cambria Math" w:hAnsi="Cambria Math" w:cs="Arial"/>
                    <w:sz w:val="24"/>
                    <w:szCs w:val="24"/>
                  </w:rPr>
                  <m:t>δ</m:t>
                </m:r>
              </m:e>
            </m:d>
          </m:e>
        </m:func>
      </m:oMath>
      <w:r w:rsidRPr="0072116E">
        <w:rPr>
          <w:rFonts w:ascii="Arial" w:eastAsiaTheme="minorEastAsia" w:hAnsi="Arial" w:cs="Arial"/>
          <w:sz w:val="24"/>
          <w:szCs w:val="24"/>
        </w:rPr>
        <w:t>=</w:t>
      </w:r>
      <m:oMath>
        <m:r>
          <w:rPr>
            <w:rFonts w:ascii="Cambria Math" w:hAnsi="Cambria Math" w:cs="Arial"/>
            <w:sz w:val="24"/>
            <w:szCs w:val="24"/>
          </w:rPr>
          <m:t>2*</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oMath>
      <w:r>
        <w:rPr>
          <w:rFonts w:ascii="Arial" w:eastAsiaTheme="minorEastAsia" w:hAnsi="Arial" w:cs="Arial"/>
          <w:sz w:val="24"/>
          <w:szCs w:val="24"/>
        </w:rPr>
        <w:t xml:space="preserve"> </w:t>
      </w:r>
    </w:p>
    <w:p w:rsidR="004C393B" w:rsidRDefault="008D64BC" w:rsidP="004C393B">
      <w:pPr>
        <w:rPr>
          <w:rFonts w:eastAsiaTheme="minorEastAsia"/>
          <w:sz w:val="24"/>
          <w:szCs w:val="24"/>
        </w:rPr>
      </w:pPr>
      <m:oMathPara>
        <m:oMathParaPr>
          <m:jc m:val="left"/>
        </m:oMathParaPr>
        <m:oMath>
          <m:func>
            <m:funcPr>
              <m:ctrlPr>
                <w:rPr>
                  <w:rFonts w:ascii="Cambria Math" w:hAnsi="Cambria Math" w:cs="Arial"/>
                  <w:sz w:val="24"/>
                  <w:szCs w:val="24"/>
                </w:rPr>
              </m:ctrlPr>
            </m:funcPr>
            <m:fName>
              <m:r>
                <m:rPr>
                  <m:sty m:val="p"/>
                </m:rPr>
                <w:rPr>
                  <w:rFonts w:ascii="Cambria Math" w:hAnsi="Cambria Math" w:cs="Arial"/>
                  <w:sz w:val="24"/>
                  <w:szCs w:val="24"/>
                </w:rPr>
                <m:t xml:space="preserve"> </m:t>
              </m:r>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r>
                    <w:rPr>
                      <w:rFonts w:ascii="Cambria Math" w:hAnsi="Cambria Math" w:cs="Arial"/>
                      <w:sz w:val="24"/>
                      <w:szCs w:val="24"/>
                    </w:rPr>
                    <m:t>δ</m:t>
                  </m:r>
                </m:e>
              </m:d>
            </m:e>
          </m:func>
          <m:r>
            <w:rPr>
              <w:rFonts w:ascii="Cambria Math" w:eastAsiaTheme="minorEastAsia" w:hAnsi="Cambria Math" w:cs="Arial"/>
              <w:sz w:val="24"/>
              <w:szCs w:val="24"/>
            </w:rPr>
            <m:t>=1-2*</m:t>
          </m:r>
          <m:sSup>
            <m:sSupPr>
              <m:ctrlPr>
                <w:rPr>
                  <w:rFonts w:ascii="Cambria Math" w:hAnsi="Cambria Math" w:cs="Arial"/>
                  <w:sz w:val="24"/>
                  <w:szCs w:val="24"/>
                </w:rPr>
              </m:ctrlPr>
            </m:sSupPr>
            <m:e>
              <m:r>
                <m:rPr>
                  <m:sty m:val="p"/>
                </m:rPr>
                <w:rPr>
                  <w:rFonts w:ascii="Cambria Math" w:hAnsi="Cambria Math" w:cs="Arial"/>
                  <w:sz w:val="24"/>
                  <w:szCs w:val="24"/>
                </w:rPr>
                <m:t>Sen</m:t>
              </m:r>
            </m:e>
            <m:sup>
              <m:r>
                <w:rPr>
                  <w:rFonts w:ascii="Cambria Math" w:hAnsi="Cambria Math" w:cs="Arial"/>
                  <w:sz w:val="24"/>
                  <w:szCs w:val="24"/>
                </w:rPr>
                <m:t>2</m:t>
              </m:r>
            </m:sup>
          </m:sSup>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w:rPr>
              <w:rFonts w:eastAsiaTheme="minorEastAsia"/>
              <w:sz w:val="24"/>
              <w:szCs w:val="24"/>
            </w:rPr>
            <w:br/>
          </m:r>
        </m:oMath>
      </m:oMathPara>
    </w:p>
    <w:p w:rsidR="004C393B" w:rsidRDefault="004C393B" w:rsidP="004C393B">
      <w:pPr>
        <w:rPr>
          <w:rFonts w:eastAsiaTheme="minorEastAsia"/>
          <w:sz w:val="24"/>
          <w:szCs w:val="24"/>
        </w:rPr>
      </w:pPr>
      <w:r>
        <w:rPr>
          <w:rFonts w:eastAsiaTheme="minorEastAsia"/>
          <w:sz w:val="24"/>
          <w:szCs w:val="24"/>
        </w:rPr>
        <w:t>Se llega a la expresión de corriente</w:t>
      </w:r>
    </w:p>
    <w:p w:rsidR="00AF3A9A" w:rsidRPr="00AF3A9A" w:rsidRDefault="004C393B" w:rsidP="004C393B">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2V(</m:t>
              </m:r>
              <m:sSup>
                <m:sSupPr>
                  <m:ctrlPr>
                    <w:rPr>
                      <w:rFonts w:ascii="Cambria Math" w:hAnsi="Cambria Math" w:cs="Arial"/>
                      <w:sz w:val="24"/>
                      <w:szCs w:val="24"/>
                    </w:rPr>
                  </m:ctrlPr>
                </m:sSupPr>
                <m:e>
                  <m:r>
                    <m:rPr>
                      <m:sty m:val="p"/>
                    </m:rPr>
                    <w:rPr>
                      <w:rFonts w:ascii="Cambria Math" w:hAnsi="Cambria Math" w:cs="Arial"/>
                      <w:sz w:val="24"/>
                      <w:szCs w:val="24"/>
                    </w:rPr>
                    <m:t>Sen</m:t>
                  </m:r>
                </m:e>
                <m:sup>
                  <m:r>
                    <w:rPr>
                      <w:rFonts w:ascii="Cambria Math" w:hAnsi="Cambria Math" w:cs="Arial"/>
                      <w:sz w:val="24"/>
                      <w:szCs w:val="24"/>
                    </w:rPr>
                    <m:t>2</m:t>
                  </m:r>
                </m:sup>
              </m:sSup>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w:rPr>
                  <w:rFonts w:ascii="Cambria Math" w:eastAsiaTheme="minorEastAsia" w:hAnsi="Cambria Math"/>
                  <w:sz w:val="24"/>
                  <w:szCs w:val="24"/>
                </w:rPr>
                <m:t>+j</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eastAsiaTheme="minorEastAsia" w:hAnsi="Cambria Math"/>
                  <w:sz w:val="24"/>
                  <w:szCs w:val="24"/>
                </w:rPr>
                <m:t>)</m:t>
              </m:r>
            </m:num>
            <m:den>
              <m:r>
                <w:rPr>
                  <w:rFonts w:ascii="Cambria Math" w:eastAsiaTheme="minorEastAsia" w:hAnsi="Cambria Math"/>
                  <w:sz w:val="24"/>
                  <w:szCs w:val="24"/>
                </w:rPr>
                <m:t>jX</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-j</m:t>
              </m:r>
            </m:num>
            <m:den>
              <m:r>
                <w:rPr>
                  <w:rFonts w:ascii="Cambria Math" w:eastAsiaTheme="minorEastAsia" w:hAnsi="Cambria Math"/>
                  <w:sz w:val="24"/>
                  <w:szCs w:val="24"/>
                </w:rPr>
                <m:t>-j</m:t>
              </m:r>
            </m:den>
          </m:f>
        </m:oMath>
      </m:oMathPara>
    </w:p>
    <w:p w:rsidR="00AF3A9A" w:rsidRDefault="00AF3A9A" w:rsidP="004C393B">
      <w:pPr>
        <w:rPr>
          <w:rFonts w:eastAsiaTheme="minorEastAsia"/>
          <w:sz w:val="24"/>
          <w:szCs w:val="24"/>
        </w:rPr>
      </w:pPr>
      <w:r>
        <w:rPr>
          <w:rFonts w:eastAsiaTheme="minorEastAsia"/>
          <w:sz w:val="24"/>
          <w:szCs w:val="24"/>
        </w:rPr>
        <w:t>Desarrollando la expresión  se llega a</w:t>
      </w:r>
    </w:p>
    <w:p w:rsidR="00AF3A9A" w:rsidRDefault="00AF3A9A" w:rsidP="004C393B">
      <w:pPr>
        <w:rPr>
          <w:rFonts w:eastAsiaTheme="minorEastAsia"/>
          <w:sz w:val="24"/>
          <w:szCs w:val="24"/>
        </w:rPr>
      </w:pPr>
    </w:p>
    <w:p w:rsidR="00AF3A9A" w:rsidRPr="00AF3A9A" w:rsidRDefault="00AF3A9A" w:rsidP="004C393B">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2V</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-j</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e>
              </m:func>
              <m:r>
                <w:rPr>
                  <w:rFonts w:ascii="Cambria Math" w:hAnsi="Cambria Math" w:cs="Arial"/>
                  <w:sz w:val="24"/>
                  <w:szCs w:val="24"/>
                </w:rPr>
                <m:t>)</m:t>
              </m:r>
            </m:num>
            <m:den>
              <m:r>
                <w:rPr>
                  <w:rFonts w:ascii="Cambria Math" w:eastAsiaTheme="minorEastAsia" w:hAnsi="Cambria Math"/>
                  <w:sz w:val="24"/>
                  <w:szCs w:val="24"/>
                </w:rPr>
                <m:t>X</m:t>
              </m:r>
            </m:den>
          </m:f>
        </m:oMath>
      </m:oMathPara>
    </w:p>
    <w:p w:rsidR="00AF3A9A" w:rsidRDefault="00AF3A9A" w:rsidP="004C393B">
      <w:pPr>
        <w:rPr>
          <w:rFonts w:eastAsiaTheme="minorEastAsia"/>
          <w:sz w:val="24"/>
          <w:szCs w:val="24"/>
        </w:rPr>
      </w:pPr>
    </w:p>
    <w:p w:rsidR="00AF3A9A" w:rsidRDefault="00AF3A9A" w:rsidP="004C393B">
      <w:pPr>
        <w:rPr>
          <w:rFonts w:eastAsiaTheme="minorEastAsia"/>
          <w:sz w:val="24"/>
          <w:szCs w:val="24"/>
        </w:rPr>
      </w:pPr>
      <w:r>
        <w:rPr>
          <w:rFonts w:eastAsiaTheme="minorEastAsia"/>
          <w:sz w:val="24"/>
          <w:szCs w:val="24"/>
        </w:rPr>
        <w:t>Luego la corriente I que circula por el sistema sin compensar es</w:t>
      </w:r>
      <m:oMath>
        <m:r>
          <w:rPr>
            <w:rFonts w:ascii="Cambria Math" w:eastAsiaTheme="minorEastAsia" w:hAnsi="Cambria Math"/>
            <w:sz w:val="24"/>
            <w:szCs w:val="24"/>
          </w:rPr>
          <m:t>:</m:t>
        </m:r>
      </m:oMath>
    </w:p>
    <w:p w:rsidR="00AF3A9A" w:rsidRPr="00AF3A9A" w:rsidRDefault="00AF3A9A" w:rsidP="00AF3A9A">
      <w:pPr>
        <w:rPr>
          <w:rFonts w:eastAsiaTheme="minorEastAsia"/>
          <w:sz w:val="24"/>
          <w:szCs w:val="24"/>
        </w:rPr>
      </w:pPr>
      <m:oMathPara>
        <m:oMath>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2V</m:t>
              </m:r>
              <m:func>
                <m:funcPr>
                  <m:ctrlPr>
                    <w:rPr>
                      <w:rFonts w:ascii="Cambria Math" w:hAnsi="Cambria Math" w:cs="Arial"/>
                      <w:sz w:val="24"/>
                      <w:szCs w:val="24"/>
                    </w:rPr>
                  </m:ctrlPr>
                </m:funcPr>
                <m:fName>
                  <m:r>
                    <m:rPr>
                      <m:sty m:val="p"/>
                    </m:rPr>
                    <w:rPr>
                      <w:rFonts w:ascii="Cambria Math" w:hAnsi="Cambria Math" w:cs="Arial"/>
                      <w:sz w:val="24"/>
                      <w:szCs w:val="24"/>
                    </w:rPr>
                    <m:t>Sen</m:t>
                  </m:r>
                  <m:ctrlPr>
                    <w:rPr>
                      <w:rFonts w:ascii="Cambria Math" w:hAnsi="Cambria Math" w:cs="Arial"/>
                      <w:i/>
                      <w:sz w:val="24"/>
                      <w:szCs w:val="24"/>
                    </w:rPr>
                  </m:ctrlPr>
                </m:fName>
                <m:e>
                  <m:d>
                    <m:dPr>
                      <m:begChr m:val="["/>
                      <m:endChr m:val="]"/>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2</m:t>
                          </m:r>
                        </m:den>
                      </m:f>
                    </m:e>
                  </m:d>
                  <m:r>
                    <w:rPr>
                      <w:rFonts w:ascii="Cambria Math" w:hAnsi="Cambria Math" w:cs="Arial"/>
                      <w:sz w:val="24"/>
                      <w:szCs w:val="24"/>
                    </w:rPr>
                    <m:t>∠-δ</m:t>
                  </m:r>
                  <m:r>
                    <w:rPr>
                      <w:rFonts w:ascii="Cambria Math" w:hAnsi="Cambria Math" w:cs="Arial"/>
                      <w:sz w:val="24"/>
                      <w:szCs w:val="24"/>
                    </w:rPr>
                    <m:t>/2</m:t>
                  </m:r>
                </m:e>
              </m:func>
            </m:num>
            <m:den>
              <m:r>
                <w:rPr>
                  <w:rFonts w:ascii="Cambria Math" w:eastAsiaTheme="minorEastAsia" w:hAnsi="Cambria Math"/>
                  <w:sz w:val="24"/>
                  <w:szCs w:val="24"/>
                </w:rPr>
                <m:t>X</m:t>
              </m:r>
            </m:den>
          </m:f>
        </m:oMath>
      </m:oMathPara>
    </w:p>
    <w:p w:rsidR="00015AA5" w:rsidRDefault="00015AA5" w:rsidP="004C393B">
      <w:pPr>
        <w:rPr>
          <w:rFonts w:eastAsiaTheme="minorEastAsia"/>
          <w:sz w:val="24"/>
          <w:szCs w:val="24"/>
        </w:rPr>
      </w:pPr>
      <w:r>
        <w:rPr>
          <w:rFonts w:eastAsiaTheme="minorEastAsia"/>
          <w:sz w:val="24"/>
          <w:szCs w:val="24"/>
        </w:rPr>
        <w:t xml:space="preserve">Ahora para obtener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w:r>
        <w:rPr>
          <w:rFonts w:eastAsiaTheme="minorEastAsia"/>
          <w:sz w:val="24"/>
          <w:szCs w:val="24"/>
        </w:rPr>
        <w:t xml:space="preserve">  se realiza un LVK  con  la fuente, obteniendo:</w:t>
      </w:r>
      <w:bookmarkStart w:id="4" w:name="_GoBack"/>
      <w:bookmarkEnd w:id="4"/>
    </w:p>
    <w:p w:rsidR="00015AA5" w:rsidRPr="00015AA5" w:rsidRDefault="00015AA5" w:rsidP="004C393B">
      <w:pPr>
        <w:rPr>
          <w:rFonts w:eastAsiaTheme="minorEastAsia"/>
          <w:sz w:val="24"/>
          <w:szCs w:val="24"/>
        </w:rPr>
      </w:pPr>
      <m:oMathPara>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s</m:t>
                  </m:r>
                </m:sub>
              </m:sSub>
            </m:e>
          </m:acc>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jX</m:t>
              </m:r>
            </m:num>
            <m:den>
              <m:r>
                <w:rPr>
                  <w:rFonts w:ascii="Cambria Math" w:eastAsiaTheme="minorEastAsia" w:hAnsi="Cambria Math"/>
                  <w:sz w:val="24"/>
                  <w:szCs w:val="24"/>
                </w:rPr>
                <m:t>4</m:t>
              </m:r>
            </m:den>
          </m:f>
          <m:r>
            <w:rPr>
              <w:rFonts w:ascii="Cambria Math" w:eastAsiaTheme="minorEastAsia" w:hAnsi="Cambria Math"/>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e>
          </m:acc>
        </m:oMath>
      </m:oMathPara>
    </w:p>
    <w:p w:rsidR="00015AA5" w:rsidRPr="00AF3A9A" w:rsidRDefault="00015AA5" w:rsidP="004C393B">
      <w:pPr>
        <w:rPr>
          <w:rFonts w:eastAsiaTheme="minorEastAsia"/>
          <w:sz w:val="24"/>
          <w:szCs w:val="24"/>
        </w:rPr>
        <w:sectPr w:rsidR="00015AA5" w:rsidRPr="00AF3A9A" w:rsidSect="00B226CF">
          <w:headerReference w:type="default" r:id="rId22"/>
          <w:headerReference w:type="first" r:id="rId23"/>
          <w:pgSz w:w="12240" w:h="15840" w:code="1"/>
          <w:pgMar w:top="1440" w:right="1440" w:bottom="1440" w:left="2098" w:header="709" w:footer="709" w:gutter="0"/>
          <w:cols w:space="708"/>
          <w:titlePg/>
          <w:docGrid w:linePitch="360"/>
        </w:sectPr>
      </w:pPr>
    </w:p>
    <w:p w:rsidR="009E65E5" w:rsidRDefault="009E65E5" w:rsidP="009E65E5">
      <w:pPr>
        <w:pStyle w:val="Ttulo1"/>
      </w:pPr>
      <w:bookmarkStart w:id="5" w:name="_Toc512348993"/>
      <w:r>
        <w:lastRenderedPageBreak/>
        <w:t>Marco Teórico</w:t>
      </w:r>
      <w:bookmarkEnd w:id="5"/>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6" w:name="_Toc512348994"/>
      <w:r>
        <w:t>Variables eléctricas de estudio</w:t>
      </w:r>
      <w:bookmarkEnd w:id="6"/>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7" w:name="_Toc512348995"/>
      <w:r>
        <w:t>Armónicos</w:t>
      </w:r>
      <w:bookmarkEnd w:id="7"/>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w:t>
      </w:r>
      <w:r w:rsidR="009F2AEA">
        <w:rPr>
          <w:rFonts w:eastAsiaTheme="minorEastAsia"/>
          <w:szCs w:val="20"/>
        </w:rPr>
        <w:lastRenderedPageBreak/>
        <w:t xml:space="preserve">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B94BAE"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8" w:name="_Toc512348996"/>
      <w:r>
        <w:rPr>
          <w:rFonts w:eastAsiaTheme="minorEastAsia"/>
        </w:rPr>
        <w:t>Transitorios</w:t>
      </w:r>
      <w:bookmarkEnd w:id="8"/>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9" w:name="_Toc512348997"/>
      <w:r>
        <w:lastRenderedPageBreak/>
        <w:t>Componentes simétricas</w:t>
      </w:r>
      <w:bookmarkEnd w:id="9"/>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0" w:name="_Toc512348998"/>
      <w:r>
        <w:lastRenderedPageBreak/>
        <w:t>Conceptos relevantes del motor de inducción trifásico</w:t>
      </w:r>
      <w:bookmarkEnd w:id="10"/>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1" w:name="_Toc512348999"/>
      <w:r>
        <w:t>Conceptos básicos del motor</w:t>
      </w:r>
      <w:r w:rsidR="002D1F5A">
        <w:t xml:space="preserve"> y</w:t>
      </w:r>
      <w:r w:rsidR="00225D57">
        <w:t xml:space="preserve"> su</w:t>
      </w:r>
      <w:r w:rsidR="002D1F5A">
        <w:t xml:space="preserve"> funcionamiento</w:t>
      </w:r>
      <w:bookmarkEnd w:id="11"/>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B95489">
        <w:rPr>
          <w:sz w:val="18"/>
          <w:szCs w:val="18"/>
        </w:rPr>
        <w:pict>
          <v:shape id="_x0000_i1025" type="#_x0000_t75" style="width:247pt;height:186.7pt">
            <v:imagedata r:id="rId24"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lastRenderedPageBreak/>
        <w:t>Figura 2-2: Circuito equivalente monofásico de máquina inducción.</w:t>
      </w:r>
      <w:r>
        <w:rPr>
          <w:sz w:val="18"/>
          <w:szCs w:val="18"/>
        </w:rPr>
        <w:br/>
      </w:r>
      <w:r w:rsidR="00B95489">
        <w:rPr>
          <w:sz w:val="18"/>
          <w:szCs w:val="18"/>
        </w:rPr>
        <w:pict>
          <v:shape id="_x0000_i1026" type="#_x0000_t75" style="width:259.55pt;height:129.75pt">
            <v:imagedata r:id="rId25" o:title="Circuito equivalente maquina"/>
          </v:shape>
        </w:pict>
      </w:r>
    </w:p>
    <w:p w:rsidR="008477CF" w:rsidRDefault="00AE3299" w:rsidP="0064227C">
      <w:pPr>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4227C">
      <w:pPr>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29271E" w:rsidRDefault="00517025" w:rsidP="00517025">
      <w:pPr>
        <w:jc w:val="center"/>
      </w:pPr>
      <w:r>
        <w:lastRenderedPageBreak/>
        <w:br/>
      </w:r>
      <w:r w:rsidRPr="00517025">
        <w:rPr>
          <w:sz w:val="18"/>
          <w:szCs w:val="18"/>
        </w:rPr>
        <w:t>Figura 2-3: Curva característica motor inducción del par en función de velocidad mecánica</w:t>
      </w:r>
      <w:r>
        <w:br/>
      </w:r>
      <w:r w:rsidR="00B95489">
        <w:pict>
          <v:shape id="_x0000_i1027" type="#_x0000_t75" style="width:303.05pt;height:246.15pt">
            <v:imagedata r:id="rId26" o:title="CurvaParCaracteristicaTipica"/>
          </v:shape>
        </w:pict>
      </w:r>
    </w:p>
    <w:p w:rsidR="00517025" w:rsidRDefault="00541D57" w:rsidP="0064227C">
      <w:pPr>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B95489">
        <w:rPr>
          <w:szCs w:val="20"/>
        </w:rPr>
        <w:pict>
          <v:shape id="_x0000_i1028" type="#_x0000_t75" style="width:213.5pt;height:170.8pt">
            <v:imagedata r:id="rId27" o:title="histeresis"/>
          </v:shape>
        </w:pict>
      </w:r>
    </w:p>
    <w:p w:rsidR="00EA4BEC" w:rsidRDefault="00AE7C32" w:rsidP="00AE7C32">
      <w:pPr>
        <w:pStyle w:val="Ttulo3"/>
      </w:pPr>
      <w:bookmarkStart w:id="12" w:name="_Toc512349000"/>
      <w:r>
        <w:t>Fallas más comunes en el motor de inducción</w:t>
      </w:r>
      <w:bookmarkEnd w:id="12"/>
    </w:p>
    <w:p w:rsidR="0050302A" w:rsidRDefault="00AE7C32" w:rsidP="00AE7C32">
      <w:r>
        <w:t>Este tipo de máquinas es susceptible a distintos fallos de carácter eléctrico y mecánico</w:t>
      </w:r>
      <w:r w:rsidR="0050302A">
        <w:t>.</w:t>
      </w:r>
    </w:p>
    <w:p w:rsidR="00AE7C32" w:rsidRDefault="00AE7C32" w:rsidP="00AE7C32">
      <w:r>
        <w:lastRenderedPageBreak/>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3" w:name="_Toc512349001"/>
      <w:r>
        <w:t>Efecto de la presencia de armónicos en el motor de inducción</w:t>
      </w:r>
      <w:bookmarkEnd w:id="13"/>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4" w:name="_Toc512349002"/>
      <w:r>
        <w:t>Aspectos generales del Variador de Frecuencia (VdF)</w:t>
      </w:r>
      <w:bookmarkEnd w:id="14"/>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5" w:name="_Toc512349003"/>
      <w:r>
        <w:t>Componentes y funcionamiento de un VdF</w:t>
      </w:r>
      <w:bookmarkEnd w:id="15"/>
    </w:p>
    <w:p w:rsidR="00FD3754" w:rsidRDefault="00AD4AF2" w:rsidP="00AD4AF2">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AD4AF2">
      <w:r>
        <w:lastRenderedPageBreak/>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B95489">
        <w:rPr>
          <w:sz w:val="18"/>
          <w:szCs w:val="18"/>
        </w:rPr>
        <w:pict>
          <v:shape id="_x0000_i1029" type="#_x0000_t75" style="width:393.5pt;height:220.2pt">
            <v:imagedata r:id="rId28"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16" w:name="_Toc512349004"/>
      <w:r>
        <w:t>Ventajas del uso del VdF</w:t>
      </w:r>
      <w:bookmarkEnd w:id="16"/>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17" w:name="_Toc512349005"/>
      <w:r>
        <w:t>Registrador de Variables Eléctricas SAMTE</w:t>
      </w:r>
      <w:bookmarkEnd w:id="17"/>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lastRenderedPageBreak/>
        <w:t>Figura 2-6: Unidad electrónica de SAMTE</w:t>
      </w:r>
      <w:r w:rsidR="00B95489">
        <w:rPr>
          <w:sz w:val="18"/>
          <w:szCs w:val="18"/>
        </w:rPr>
        <w:pict>
          <v:shape id="_x0000_i1030" type="#_x0000_t75" style="width:400.2pt;height:216.85pt">
            <v:imagedata r:id="rId29"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sidR="00B95489">
        <w:rPr>
          <w:sz w:val="18"/>
          <w:szCs w:val="18"/>
        </w:rPr>
        <w:pict>
          <v:shape id="_x0000_i1031" type="#_x0000_t75" style="width:420.3pt;height:218.5pt">
            <v:imagedata r:id="rId30"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18" w:name="_Toc512349006"/>
      <w:r>
        <w:t>Software Simulink de MATLAB</w:t>
      </w:r>
      <w:bookmarkEnd w:id="18"/>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9" w:name="_Toc512349007"/>
      <w:r>
        <w:lastRenderedPageBreak/>
        <w:t>Discusión y c</w:t>
      </w:r>
      <w:r w:rsidR="00E93CB9" w:rsidRPr="00413B04">
        <w:t>onclusiones</w:t>
      </w:r>
      <w:bookmarkEnd w:id="19"/>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1"/>
          <w:headerReference w:type="default" r:id="rId32"/>
          <w:headerReference w:type="first" r:id="rId33"/>
          <w:pgSz w:w="12240" w:h="15840" w:code="1"/>
          <w:pgMar w:top="1440" w:right="1440" w:bottom="1440" w:left="2098" w:header="709" w:footer="709" w:gutter="0"/>
          <w:cols w:space="708"/>
          <w:titlePg/>
          <w:docGrid w:linePitch="360"/>
        </w:sectPr>
      </w:pPr>
    </w:p>
    <w:bookmarkStart w:id="20"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0"/>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6"/>
                <w:gridCol w:w="8376"/>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4"/>
      <w:headerReference w:type="default" r:id="rId35"/>
      <w:headerReference w:type="first" r:id="rId36"/>
      <w:footerReference w:type="first" r:id="rId3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94B" w:rsidRDefault="00BA594B" w:rsidP="00F6291D">
      <w:pPr>
        <w:spacing w:after="0" w:line="240" w:lineRule="auto"/>
      </w:pPr>
      <w:r>
        <w:separator/>
      </w:r>
    </w:p>
  </w:endnote>
  <w:endnote w:type="continuationSeparator" w:id="0">
    <w:p w:rsidR="00BA594B" w:rsidRDefault="00BA594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charset w:val="00"/>
    <w:family w:val="auto"/>
    <w:pitch w:val="variable"/>
    <w:sig w:usb0="00000003"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Piedepgina"/>
      <w:jc w:val="right"/>
    </w:pPr>
  </w:p>
  <w:p w:rsidR="00B94BAE" w:rsidRDefault="00B94B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B94BAE" w:rsidRDefault="00B94BAE">
        <w:pPr>
          <w:pStyle w:val="Piedepgina"/>
          <w:jc w:val="right"/>
        </w:pPr>
        <w:r>
          <w:fldChar w:fldCharType="begin"/>
        </w:r>
        <w:r>
          <w:instrText xml:space="preserve"> PAGE   \* MERGEFORMAT </w:instrText>
        </w:r>
        <w:r>
          <w:fldChar w:fldCharType="separate"/>
        </w:r>
        <w:r w:rsidR="00236F22">
          <w:rPr>
            <w:noProof/>
          </w:rPr>
          <w:t>4</w:t>
        </w:r>
        <w:r>
          <w:rPr>
            <w:noProof/>
          </w:rPr>
          <w:fldChar w:fldCharType="end"/>
        </w:r>
      </w:p>
    </w:sdtContent>
  </w:sdt>
  <w:p w:rsidR="00B94BAE" w:rsidRDefault="00B94B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B94BAE" w:rsidRDefault="00B94BAE">
        <w:pPr>
          <w:pStyle w:val="Piedepgina"/>
          <w:jc w:val="right"/>
        </w:pPr>
        <w:r>
          <w:fldChar w:fldCharType="begin"/>
        </w:r>
        <w:r>
          <w:instrText xml:space="preserve"> PAGE   \* MERGEFORMAT </w:instrText>
        </w:r>
        <w:r>
          <w:fldChar w:fldCharType="separate"/>
        </w:r>
        <w:r w:rsidR="00236F22">
          <w:rPr>
            <w:noProof/>
          </w:rPr>
          <w:t>5</w:t>
        </w:r>
        <w:r>
          <w:rPr>
            <w:noProof/>
          </w:rPr>
          <w:fldChar w:fldCharType="end"/>
        </w:r>
      </w:p>
    </w:sdtContent>
  </w:sdt>
  <w:p w:rsidR="00B94BAE" w:rsidRDefault="00B94BAE">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B94BAE" w:rsidRDefault="00B94BAE">
        <w:pPr>
          <w:pStyle w:val="Piedepgina"/>
          <w:jc w:val="right"/>
        </w:pPr>
        <w:r>
          <w:fldChar w:fldCharType="begin"/>
        </w:r>
        <w:r>
          <w:instrText xml:space="preserve"> PAGE   \* MERGEFORMAT </w:instrText>
        </w:r>
        <w:r>
          <w:fldChar w:fldCharType="separate"/>
        </w:r>
        <w:r w:rsidR="00015AA5">
          <w:rPr>
            <w:noProof/>
          </w:rPr>
          <w:t>16</w:t>
        </w:r>
        <w:r>
          <w:rPr>
            <w:noProof/>
          </w:rPr>
          <w:fldChar w:fldCharType="end"/>
        </w:r>
      </w:p>
    </w:sdtContent>
  </w:sdt>
  <w:p w:rsidR="00B94BAE" w:rsidRDefault="00B94B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94B" w:rsidRDefault="00BA594B" w:rsidP="00F6291D">
      <w:pPr>
        <w:spacing w:after="0" w:line="240" w:lineRule="auto"/>
      </w:pPr>
      <w:r>
        <w:separator/>
      </w:r>
    </w:p>
  </w:footnote>
  <w:footnote w:type="continuationSeparator" w:id="0">
    <w:p w:rsidR="00BA594B" w:rsidRDefault="00BA594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rsidP="0049740F">
    <w:pPr>
      <w:pStyle w:val="Encabezado"/>
      <w:jc w:val="right"/>
      <w:rPr>
        <w:b/>
      </w:rPr>
    </w:pPr>
  </w:p>
  <w:p w:rsidR="00B94BAE" w:rsidRPr="00EB395C" w:rsidRDefault="00B94BAE"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rsidP="00D02516">
    <w:pPr>
      <w:pStyle w:val="Encabezado"/>
      <w:pBdr>
        <w:bottom w:val="single" w:sz="4" w:space="1" w:color="auto"/>
      </w:pBdr>
      <w:jc w:val="right"/>
      <w:rPr>
        <w:b/>
      </w:rPr>
    </w:pPr>
  </w:p>
  <w:p w:rsidR="00B94BAE" w:rsidRPr="00EB395C" w:rsidRDefault="00B94BAE"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94BAE" w:rsidRPr="008222B6" w:rsidRDefault="00B94BAE"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rsidP="0049740F">
    <w:pPr>
      <w:pStyle w:val="Encabezado"/>
      <w:jc w:val="right"/>
      <w:rPr>
        <w:b/>
      </w:rPr>
    </w:pPr>
  </w:p>
  <w:p w:rsidR="00B94BAE" w:rsidRPr="00EB395C" w:rsidRDefault="00B94BAE"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4BAE" w:rsidRDefault="00B94BAE" w:rsidP="0049740F">
    <w:pPr>
      <w:pStyle w:val="Encabezado"/>
      <w:jc w:val="right"/>
      <w:rPr>
        <w:b/>
      </w:rPr>
    </w:pPr>
  </w:p>
  <w:p w:rsidR="00B94BAE" w:rsidRPr="00EB395C" w:rsidRDefault="00B94BAE"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236F22" w:rsidRPr="00236F22">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236F22">
      <w:rPr>
        <w:b/>
        <w:noProof/>
      </w:rPr>
      <w:t>Sistema sin compensar</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2B7B"/>
    <w:rsid w:val="00174D64"/>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36F22"/>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572F8"/>
    <w:rsid w:val="00360FF0"/>
    <w:rsid w:val="00365F5D"/>
    <w:rsid w:val="00366FCF"/>
    <w:rsid w:val="0037019C"/>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43F3"/>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AF2"/>
    <w:rsid w:val="00AD5587"/>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BAE"/>
    <w:rsid w:val="00B94F33"/>
    <w:rsid w:val="00B95489"/>
    <w:rsid w:val="00BA594B"/>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1789"/>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jpeg"/><Relationship Id="rId33" Type="http://schemas.openxmlformats.org/officeDocument/2006/relationships/header" Target="header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eader" Target="header12.xm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9.png"/><Relationship Id="rId36" Type="http://schemas.openxmlformats.org/officeDocument/2006/relationships/header" Target="header16.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charset w:val="00"/>
    <w:family w:val="auto"/>
    <w:pitch w:val="variable"/>
    <w:sig w:usb0="00000003"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3E47C9"/>
    <w:rsid w:val="00461D53"/>
    <w:rsid w:val="00535F40"/>
    <w:rsid w:val="005E2B09"/>
    <w:rsid w:val="007319B5"/>
    <w:rsid w:val="00B52F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E47C9"/>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B82836B0-ABFA-4F78-9576-249AF96D7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1873</TotalTime>
  <Pages>20</Pages>
  <Words>3952</Words>
  <Characters>21742</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88</cp:revision>
  <cp:lastPrinted>2018-04-24T19:03:00Z</cp:lastPrinted>
  <dcterms:created xsi:type="dcterms:W3CDTF">2018-04-20T16:47:00Z</dcterms:created>
  <dcterms:modified xsi:type="dcterms:W3CDTF">2018-05-06T03:39:00Z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