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163" w:rsidRPr="00AC7352" w:rsidRDefault="00CE1163" w:rsidP="00CE1163">
      <w:pPr>
        <w:jc w:val="center"/>
        <w:rPr>
          <w:rFonts w:ascii="Arial Narrow" w:hAnsi="Arial Narrow"/>
          <w:b/>
          <w:sz w:val="56"/>
        </w:rPr>
      </w:pPr>
    </w:p>
    <w:p w:rsidR="00CE1163" w:rsidRPr="00AC7352" w:rsidRDefault="00CE1163" w:rsidP="00CE1163">
      <w:pPr>
        <w:jc w:val="center"/>
        <w:rPr>
          <w:rFonts w:ascii="Arial Narrow" w:hAnsi="Arial Narrow"/>
          <w:b/>
          <w:sz w:val="56"/>
        </w:rPr>
      </w:pPr>
    </w:p>
    <w:p w:rsidR="006A4670" w:rsidRPr="00AC7352" w:rsidRDefault="00CE1163" w:rsidP="00CE1163">
      <w:pPr>
        <w:jc w:val="center"/>
        <w:rPr>
          <w:rFonts w:ascii="Arial Narrow" w:hAnsi="Arial Narrow"/>
          <w:b/>
          <w:sz w:val="56"/>
        </w:rPr>
      </w:pPr>
      <w:r w:rsidRPr="00AC7352">
        <w:rPr>
          <w:rFonts w:ascii="Arial Narrow" w:hAnsi="Arial Narrow"/>
          <w:b/>
          <w:sz w:val="56"/>
        </w:rPr>
        <w:t>PROYECTO DE SUB-ESTACIONES ELÉCTRICAS Y LÍNEAS DE TRANSMISIÓN</w:t>
      </w: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 w:rsidP="00CE1163">
      <w:pPr>
        <w:jc w:val="center"/>
        <w:rPr>
          <w:rFonts w:ascii="Arial Narrow" w:hAnsi="Arial Narrow"/>
          <w:b/>
          <w:sz w:val="40"/>
        </w:rPr>
      </w:pPr>
      <w:r w:rsidRPr="00AC7352">
        <w:rPr>
          <w:rFonts w:ascii="Arial Narrow" w:hAnsi="Arial Narrow"/>
          <w:b/>
          <w:sz w:val="40"/>
        </w:rPr>
        <w:t xml:space="preserve">Tarea </w:t>
      </w:r>
      <w:r w:rsidR="002F5EDA">
        <w:rPr>
          <w:rFonts w:ascii="Arial Narrow" w:hAnsi="Arial Narrow"/>
          <w:b/>
          <w:sz w:val="40"/>
        </w:rPr>
        <w:t>2</w:t>
      </w: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 w:rsidP="00CE1163">
      <w:pPr>
        <w:jc w:val="right"/>
        <w:rPr>
          <w:rFonts w:ascii="Arial Narrow" w:hAnsi="Arial Narrow"/>
        </w:rPr>
      </w:pPr>
      <w:r w:rsidRPr="00AC7352">
        <w:rPr>
          <w:rFonts w:ascii="Arial Narrow" w:hAnsi="Arial Narrow"/>
        </w:rPr>
        <w:t>Consultor: Eduardo Roga Rojas</w:t>
      </w:r>
    </w:p>
    <w:p w:rsidR="00CE1163" w:rsidRPr="00AC7352" w:rsidRDefault="00CE1163" w:rsidP="00CE1163">
      <w:pPr>
        <w:jc w:val="right"/>
        <w:rPr>
          <w:rFonts w:ascii="Arial Narrow" w:hAnsi="Arial Narrow"/>
        </w:rPr>
      </w:pPr>
      <w:r w:rsidRPr="00AC7352">
        <w:rPr>
          <w:rFonts w:ascii="Arial Narrow" w:hAnsi="Arial Narrow"/>
        </w:rPr>
        <w:t>Revisor: Carlos Rojas Agüero</w:t>
      </w:r>
    </w:p>
    <w:p w:rsidR="00CE1163" w:rsidRPr="00AC7352" w:rsidRDefault="00CE1163" w:rsidP="00CE1163">
      <w:pPr>
        <w:jc w:val="right"/>
        <w:rPr>
          <w:rFonts w:ascii="Arial Narrow" w:hAnsi="Arial Narrow"/>
        </w:rPr>
      </w:pPr>
      <w:r w:rsidRPr="00AC7352">
        <w:rPr>
          <w:rFonts w:ascii="Arial Narrow" w:hAnsi="Arial Narrow"/>
        </w:rPr>
        <w:t xml:space="preserve">Fecha: </w:t>
      </w:r>
      <w:r w:rsidR="002F5EDA">
        <w:rPr>
          <w:rFonts w:ascii="Arial Narrow" w:hAnsi="Arial Narrow"/>
        </w:rPr>
        <w:t>4</w:t>
      </w:r>
      <w:r w:rsidRPr="00AC7352">
        <w:rPr>
          <w:rFonts w:ascii="Arial Narrow" w:hAnsi="Arial Narrow"/>
        </w:rPr>
        <w:t xml:space="preserve"> de </w:t>
      </w:r>
      <w:r w:rsidR="002F5EDA">
        <w:rPr>
          <w:rFonts w:ascii="Arial Narrow" w:hAnsi="Arial Narrow"/>
        </w:rPr>
        <w:t>agosto</w:t>
      </w:r>
      <w:r w:rsidRPr="00AC7352">
        <w:rPr>
          <w:rFonts w:ascii="Arial Narrow" w:hAnsi="Arial Narrow"/>
        </w:rPr>
        <w:t xml:space="preserve"> de 2018</w:t>
      </w:r>
    </w:p>
    <w:p w:rsidR="00CE1163" w:rsidRPr="00AC7352" w:rsidRDefault="00CE1163" w:rsidP="00CE1163">
      <w:pPr>
        <w:jc w:val="right"/>
        <w:rPr>
          <w:rFonts w:ascii="Arial Narrow" w:hAnsi="Arial Narrow"/>
        </w:rPr>
      </w:pPr>
    </w:p>
    <w:p w:rsidR="00CE1163" w:rsidRPr="00260852" w:rsidRDefault="00811F5B" w:rsidP="00CE1163">
      <w:pPr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lastRenderedPageBreak/>
        <w:t>Introducción</w:t>
      </w:r>
    </w:p>
    <w:p w:rsidR="00CE1163" w:rsidRDefault="00225F78" w:rsidP="00CE1163">
      <w:pPr>
        <w:rPr>
          <w:rFonts w:ascii="Arial Narrow" w:hAnsi="Arial Narrow"/>
        </w:rPr>
      </w:pPr>
      <w:r w:rsidRPr="00AC7352">
        <w:rPr>
          <w:rFonts w:ascii="Arial Narrow" w:hAnsi="Arial Narrow"/>
        </w:rPr>
        <w:t>Los datos de entrada principalmente han sido</w:t>
      </w:r>
      <w:r>
        <w:rPr>
          <w:rFonts w:ascii="Arial Narrow" w:hAnsi="Arial Narrow"/>
        </w:rPr>
        <w:t xml:space="preserve"> suministrados por el mandante. </w:t>
      </w:r>
      <w:r w:rsidR="00CE1163" w:rsidRPr="00AC7352">
        <w:rPr>
          <w:rFonts w:ascii="Arial Narrow" w:hAnsi="Arial Narrow"/>
        </w:rPr>
        <w:t xml:space="preserve">Se proyecta una </w:t>
      </w:r>
      <w:r>
        <w:rPr>
          <w:rFonts w:ascii="Arial Narrow" w:hAnsi="Arial Narrow"/>
        </w:rPr>
        <w:t>subestación a intemperie a una altura de 2700 msnm</w:t>
      </w:r>
      <w:r w:rsidR="00CE1163" w:rsidRPr="00AC7352">
        <w:rPr>
          <w:rFonts w:ascii="Arial Narrow" w:hAnsi="Arial Narrow"/>
        </w:rPr>
        <w:t>.</w:t>
      </w:r>
    </w:p>
    <w:p w:rsidR="007F6409" w:rsidRDefault="007F6409" w:rsidP="00CE1163">
      <w:pPr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F6409" w:rsidTr="007F6409">
        <w:tc>
          <w:tcPr>
            <w:tcW w:w="2942" w:type="dxa"/>
          </w:tcPr>
          <w:p w:rsidR="007F6409" w:rsidRDefault="007F6409" w:rsidP="00CE1163">
            <w:pPr>
              <w:rPr>
                <w:rFonts w:ascii="Arial Narrow" w:hAnsi="Arial Narrow"/>
              </w:rPr>
            </w:pPr>
          </w:p>
        </w:tc>
        <w:tc>
          <w:tcPr>
            <w:tcW w:w="2943" w:type="dxa"/>
          </w:tcPr>
          <w:p w:rsidR="007F6409" w:rsidRPr="007F6409" w:rsidRDefault="007F6409" w:rsidP="007F6409">
            <w:pPr>
              <w:jc w:val="center"/>
              <w:rPr>
                <w:rFonts w:ascii="Arial Narrow" w:hAnsi="Arial Narrow"/>
                <w:b/>
              </w:rPr>
            </w:pPr>
            <w:r w:rsidRPr="007F6409">
              <w:rPr>
                <w:rFonts w:ascii="Arial Narrow" w:hAnsi="Arial Narrow"/>
                <w:b/>
              </w:rPr>
              <w:t>Lado AT</w:t>
            </w:r>
          </w:p>
        </w:tc>
        <w:tc>
          <w:tcPr>
            <w:tcW w:w="2943" w:type="dxa"/>
          </w:tcPr>
          <w:p w:rsidR="007F6409" w:rsidRPr="007F6409" w:rsidRDefault="007F6409" w:rsidP="007F6409">
            <w:pPr>
              <w:jc w:val="center"/>
              <w:rPr>
                <w:rFonts w:ascii="Arial Narrow" w:hAnsi="Arial Narrow"/>
                <w:b/>
              </w:rPr>
            </w:pPr>
            <w:r w:rsidRPr="007F6409">
              <w:rPr>
                <w:rFonts w:ascii="Arial Narrow" w:hAnsi="Arial Narrow"/>
                <w:b/>
              </w:rPr>
              <w:t>Lado BT</w:t>
            </w:r>
          </w:p>
        </w:tc>
      </w:tr>
      <w:tr w:rsidR="007F6409" w:rsidTr="007F6409">
        <w:tc>
          <w:tcPr>
            <w:tcW w:w="2942" w:type="dxa"/>
          </w:tcPr>
          <w:p w:rsidR="007F6409" w:rsidRDefault="007F6409" w:rsidP="007F64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Tensión nominal</w:t>
            </w:r>
          </w:p>
          <w:p w:rsidR="007F6409" w:rsidRDefault="007F6409" w:rsidP="00CE1163">
            <w:pPr>
              <w:rPr>
                <w:rFonts w:ascii="Arial Narrow" w:hAnsi="Arial Narrow"/>
              </w:rPr>
            </w:pP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220 </w:t>
            </w:r>
            <w:proofErr w:type="spellStart"/>
            <w:r>
              <w:rPr>
                <w:rFonts w:ascii="Arial Narrow" w:hAnsi="Arial Narrow"/>
              </w:rPr>
              <w:t>kV</w:t>
            </w:r>
            <w:proofErr w:type="spellEnd"/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23 </w:t>
            </w:r>
            <w:proofErr w:type="spellStart"/>
            <w:r>
              <w:rPr>
                <w:rFonts w:ascii="Arial Narrow" w:hAnsi="Arial Narrow"/>
              </w:rPr>
              <w:t>kV</w:t>
            </w:r>
            <w:proofErr w:type="spellEnd"/>
          </w:p>
        </w:tc>
      </w:tr>
      <w:tr w:rsidR="007F6409" w:rsidTr="007F6409">
        <w:tc>
          <w:tcPr>
            <w:tcW w:w="2942" w:type="dxa"/>
          </w:tcPr>
          <w:p w:rsidR="007F6409" w:rsidRDefault="007F6409" w:rsidP="007F64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Tensión máxima</w:t>
            </w:r>
          </w:p>
          <w:p w:rsidR="007F6409" w:rsidRDefault="007F6409" w:rsidP="00CE1163">
            <w:pPr>
              <w:rPr>
                <w:rFonts w:ascii="Arial Narrow" w:hAnsi="Arial Narrow"/>
              </w:rPr>
            </w:pP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231 </w:t>
            </w:r>
            <w:proofErr w:type="spellStart"/>
            <w:r>
              <w:rPr>
                <w:rFonts w:ascii="Arial Narrow" w:hAnsi="Arial Narrow"/>
              </w:rPr>
              <w:t>kV</w:t>
            </w:r>
            <w:proofErr w:type="spellEnd"/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24.2 </w:t>
            </w:r>
            <w:proofErr w:type="spellStart"/>
            <w:r>
              <w:rPr>
                <w:rFonts w:ascii="Arial Narrow" w:hAnsi="Arial Narrow"/>
              </w:rPr>
              <w:t>kV</w:t>
            </w:r>
            <w:proofErr w:type="spellEnd"/>
          </w:p>
        </w:tc>
      </w:tr>
      <w:tr w:rsidR="007F6409" w:rsidTr="007F6409">
        <w:tc>
          <w:tcPr>
            <w:tcW w:w="2942" w:type="dxa"/>
          </w:tcPr>
          <w:p w:rsidR="007F6409" w:rsidRDefault="007F6409" w:rsidP="007F64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Nivel de cortocircuito trifásico</w:t>
            </w:r>
          </w:p>
          <w:p w:rsidR="007F6409" w:rsidRDefault="007F6409" w:rsidP="00CE1163">
            <w:pPr>
              <w:rPr>
                <w:rFonts w:ascii="Arial Narrow" w:hAnsi="Arial Narrow"/>
              </w:rPr>
            </w:pP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8002 MVA</w:t>
            </w: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determinar</w:t>
            </w:r>
          </w:p>
        </w:tc>
      </w:tr>
      <w:tr w:rsidR="007F6409" w:rsidTr="007F6409">
        <w:tc>
          <w:tcPr>
            <w:tcW w:w="2942" w:type="dxa"/>
          </w:tcPr>
          <w:p w:rsidR="007F6409" w:rsidRDefault="007F6409" w:rsidP="00CE116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Nivel de cortocircuito monofásico</w:t>
            </w: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6859 MVA</w:t>
            </w: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 A (requerido)</w:t>
            </w:r>
          </w:p>
        </w:tc>
      </w:tr>
      <w:tr w:rsidR="007F6409" w:rsidTr="007F6409">
        <w:tc>
          <w:tcPr>
            <w:tcW w:w="2942" w:type="dxa"/>
          </w:tcPr>
          <w:p w:rsidR="007F6409" w:rsidRDefault="007F6409" w:rsidP="00CE116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Demanda total actual</w:t>
            </w: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28 MVA </w:t>
            </w:r>
            <w:proofErr w:type="spellStart"/>
            <w:r>
              <w:rPr>
                <w:rFonts w:ascii="Arial Narrow" w:hAnsi="Arial Narrow"/>
              </w:rPr>
              <w:t>fdp</w:t>
            </w:r>
            <w:proofErr w:type="spellEnd"/>
            <w:r>
              <w:rPr>
                <w:rFonts w:ascii="Arial Narrow" w:hAnsi="Arial Narrow"/>
              </w:rPr>
              <w:t xml:space="preserve"> 0.95</w:t>
            </w: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</w:p>
        </w:tc>
      </w:tr>
      <w:tr w:rsidR="007F6409" w:rsidTr="007F6409">
        <w:tc>
          <w:tcPr>
            <w:tcW w:w="2942" w:type="dxa"/>
          </w:tcPr>
          <w:p w:rsidR="007F6409" w:rsidRDefault="007F6409" w:rsidP="00CE116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Demanda total futura</w:t>
            </w: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38 MVA </w:t>
            </w:r>
            <w:proofErr w:type="spellStart"/>
            <w:r>
              <w:rPr>
                <w:rFonts w:ascii="Arial Narrow" w:hAnsi="Arial Narrow"/>
              </w:rPr>
              <w:t>fdp</w:t>
            </w:r>
            <w:proofErr w:type="spellEnd"/>
            <w:r>
              <w:rPr>
                <w:rFonts w:ascii="Arial Narrow" w:hAnsi="Arial Narrow"/>
              </w:rPr>
              <w:t xml:space="preserve"> 0.95</w:t>
            </w: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7F6409" w:rsidRPr="00AC7352" w:rsidRDefault="007F6409" w:rsidP="00CE1163">
      <w:pPr>
        <w:rPr>
          <w:rFonts w:ascii="Arial Narrow" w:hAnsi="Arial Narrow"/>
        </w:rPr>
      </w:pPr>
    </w:p>
    <w:p w:rsidR="00CE1163" w:rsidRPr="00260852" w:rsidRDefault="00811F5B" w:rsidP="00CE1163">
      <w:pPr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t>Objetivos</w:t>
      </w:r>
    </w:p>
    <w:p w:rsidR="00CE1163" w:rsidRDefault="00225F78" w:rsidP="00CE1163">
      <w:pPr>
        <w:rPr>
          <w:rFonts w:ascii="Arial Narrow" w:hAnsi="Arial Narrow"/>
        </w:rPr>
      </w:pPr>
      <w:r>
        <w:rPr>
          <w:rFonts w:ascii="Arial Narrow" w:hAnsi="Arial Narrow"/>
        </w:rPr>
        <w:t>Continuidad de servicio y confiabilidad del sistema.</w:t>
      </w:r>
    </w:p>
    <w:p w:rsidR="00225F78" w:rsidRDefault="00225F78" w:rsidP="00CE1163">
      <w:pPr>
        <w:rPr>
          <w:rFonts w:ascii="Arial Narrow" w:hAnsi="Arial Narrow"/>
        </w:rPr>
      </w:pPr>
      <w:r>
        <w:rPr>
          <w:rFonts w:ascii="Arial Narrow" w:hAnsi="Arial Narrow"/>
        </w:rPr>
        <w:t>Versatilidad de operación. Flexibilidad.</w:t>
      </w:r>
    </w:p>
    <w:p w:rsidR="00225F78" w:rsidRDefault="00225F78" w:rsidP="00CE1163">
      <w:pPr>
        <w:rPr>
          <w:rFonts w:ascii="Arial Narrow" w:hAnsi="Arial Narrow"/>
        </w:rPr>
      </w:pPr>
      <w:r>
        <w:rPr>
          <w:rFonts w:ascii="Arial Narrow" w:hAnsi="Arial Narrow"/>
        </w:rPr>
        <w:t>Facilidad de mantenimiento de los equipos.</w:t>
      </w:r>
    </w:p>
    <w:p w:rsidR="00225F78" w:rsidRDefault="00225F78" w:rsidP="00CE1163">
      <w:pPr>
        <w:rPr>
          <w:rFonts w:ascii="Arial Narrow" w:hAnsi="Arial Narrow"/>
        </w:rPr>
      </w:pPr>
      <w:r>
        <w:rPr>
          <w:rFonts w:ascii="Arial Narrow" w:hAnsi="Arial Narrow"/>
        </w:rPr>
        <w:t>Cantidad y tamaño de los equipos.</w:t>
      </w:r>
    </w:p>
    <w:p w:rsidR="00225F78" w:rsidRDefault="00225F78" w:rsidP="00CE1163">
      <w:pPr>
        <w:rPr>
          <w:rFonts w:ascii="Arial Narrow" w:hAnsi="Arial Narrow"/>
        </w:rPr>
      </w:pPr>
      <w:r>
        <w:rPr>
          <w:rFonts w:ascii="Arial Narrow" w:hAnsi="Arial Narrow"/>
        </w:rPr>
        <w:t>Área del terreno disponible.</w:t>
      </w:r>
    </w:p>
    <w:p w:rsidR="00225F78" w:rsidRPr="00AC7352" w:rsidRDefault="00225F78" w:rsidP="00CE1163">
      <w:pPr>
        <w:rPr>
          <w:rFonts w:ascii="Arial Narrow" w:hAnsi="Arial Narrow"/>
        </w:rPr>
      </w:pPr>
      <w:r>
        <w:rPr>
          <w:rFonts w:ascii="Arial Narrow" w:hAnsi="Arial Narrow"/>
        </w:rPr>
        <w:t>Costo.</w:t>
      </w:r>
    </w:p>
    <w:p w:rsidR="00CE1163" w:rsidRPr="00260852" w:rsidRDefault="00811F5B" w:rsidP="00346806">
      <w:pPr>
        <w:jc w:val="both"/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t>Criterios de diseño</w:t>
      </w:r>
    </w:p>
    <w:p w:rsidR="00225F78" w:rsidRPr="00225F78" w:rsidRDefault="00225F78" w:rsidP="00346806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Se considera una configuración en doble barra con un interruptor. No se permite la de</w:t>
      </w:r>
      <w:r w:rsidR="00696CC5">
        <w:rPr>
          <w:rFonts w:ascii="Arial Narrow" w:hAnsi="Arial Narrow"/>
          <w:sz w:val="24"/>
        </w:rPr>
        <w:t>s</w:t>
      </w:r>
      <w:r>
        <w:rPr>
          <w:rFonts w:ascii="Arial Narrow" w:hAnsi="Arial Narrow"/>
          <w:sz w:val="24"/>
        </w:rPr>
        <w:t xml:space="preserve">conexión de líneas de salida por mantención de barras o interruptores ya que las cargas están conectadas a ambas cargas, cada una de ellas siendo capaz de soportar la totalidad de la carga. </w:t>
      </w:r>
      <w:r w:rsidR="00696CC5">
        <w:rPr>
          <w:rFonts w:ascii="Arial Narrow" w:hAnsi="Arial Narrow"/>
          <w:sz w:val="24"/>
        </w:rPr>
        <w:t xml:space="preserve">Debe notarse que se requiere un interruptor extra para el enlace de barras. Se requiere un </w:t>
      </w:r>
      <w:proofErr w:type="spellStart"/>
      <w:r w:rsidR="00696CC5">
        <w:rPr>
          <w:rFonts w:ascii="Arial Narrow" w:hAnsi="Arial Narrow"/>
          <w:sz w:val="24"/>
        </w:rPr>
        <w:t>desconectador</w:t>
      </w:r>
      <w:proofErr w:type="spellEnd"/>
      <w:r w:rsidR="00696CC5">
        <w:rPr>
          <w:rFonts w:ascii="Arial Narrow" w:hAnsi="Arial Narrow"/>
          <w:sz w:val="24"/>
        </w:rPr>
        <w:t xml:space="preserve"> adicional por circuito. Alta exposición a fallas de barra. Una falla en el interruptor principal deja fuera de servicio a todas las cargas conectadas a la barra. Una falla en el interruptor de acoplamiento deja fuera de servicio a toda la subestación.</w:t>
      </w:r>
    </w:p>
    <w:p w:rsidR="00CE1163" w:rsidRDefault="00811F5B" w:rsidP="00CE1163">
      <w:pPr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t xml:space="preserve">Cálculo de </w:t>
      </w:r>
      <w:bookmarkStart w:id="0" w:name="_GoBack"/>
      <w:r w:rsidRPr="00260852">
        <w:rPr>
          <w:rFonts w:ascii="Arial Narrow" w:hAnsi="Arial Narrow"/>
          <w:b/>
          <w:sz w:val="32"/>
        </w:rPr>
        <w:t xml:space="preserve">distancias de aislamiento </w:t>
      </w:r>
      <w:bookmarkEnd w:id="0"/>
      <w:r w:rsidRPr="00260852">
        <w:rPr>
          <w:rFonts w:ascii="Arial Narrow" w:hAnsi="Arial Narrow"/>
          <w:b/>
          <w:sz w:val="32"/>
        </w:rPr>
        <w:t>y seguridad</w:t>
      </w:r>
    </w:p>
    <w:p w:rsidR="00260852" w:rsidRDefault="00260852" w:rsidP="00CE1163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Los criterios de diseño para la determinación de las distancias eléctricas toman en consideración</w:t>
      </w:r>
    </w:p>
    <w:p w:rsidR="00260852" w:rsidRPr="00260852" w:rsidRDefault="00260852" w:rsidP="00260852">
      <w:pPr>
        <w:pStyle w:val="Prrafodelista"/>
        <w:numPr>
          <w:ilvl w:val="0"/>
          <w:numId w:val="6"/>
        </w:numPr>
        <w:rPr>
          <w:rFonts w:ascii="Arial Narrow" w:hAnsi="Arial Narrow"/>
          <w:sz w:val="24"/>
        </w:rPr>
      </w:pPr>
      <w:r w:rsidRPr="00260852">
        <w:rPr>
          <w:rFonts w:ascii="Arial Narrow" w:hAnsi="Arial Narrow"/>
          <w:sz w:val="24"/>
        </w:rPr>
        <w:t>Clase de aislación de los equipos y el BIL de la subestación corregidos según la altura de montaje.</w:t>
      </w:r>
    </w:p>
    <w:p w:rsidR="00260852" w:rsidRPr="00260852" w:rsidRDefault="005441BE" w:rsidP="00CE1163">
      <w:pPr>
        <w:rPr>
          <w:rFonts w:ascii="Arial Narrow" w:eastAsiaTheme="minorEastAsia" w:hAnsi="Arial Narrow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1000</m:t>
              </m:r>
            </m:sub>
          </m:sSub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1+0.0125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h-1000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1000</m:t>
              </m:r>
            </m:sub>
          </m:sSub>
          <m:r>
            <w:rPr>
              <w:rFonts w:ascii="Cambria Math" w:hAnsi="Cambria Math"/>
              <w:sz w:val="24"/>
            </w:rPr>
            <m:t>*1.2125</m:t>
          </m:r>
        </m:oMath>
      </m:oMathPara>
    </w:p>
    <w:p w:rsidR="00260852" w:rsidRPr="00260852" w:rsidRDefault="00260852" w:rsidP="00CE1163">
      <w:pPr>
        <w:rPr>
          <w:rFonts w:ascii="Arial Narrow" w:eastAsiaTheme="minorEastAsia" w:hAnsi="Arial Narrow"/>
          <w:sz w:val="24"/>
        </w:rPr>
      </w:pPr>
    </w:p>
    <w:p w:rsidR="00260852" w:rsidRPr="00553780" w:rsidRDefault="00260852" w:rsidP="00260852">
      <w:pPr>
        <w:pStyle w:val="Prrafodelista"/>
        <w:numPr>
          <w:ilvl w:val="0"/>
          <w:numId w:val="6"/>
        </w:numPr>
        <w:rPr>
          <w:rFonts w:ascii="Arial Narrow" w:hAnsi="Arial Narrow"/>
          <w:sz w:val="24"/>
        </w:rPr>
      </w:pPr>
      <w:r w:rsidRPr="00260852">
        <w:rPr>
          <w:rFonts w:ascii="Arial Narrow" w:eastAsiaTheme="minorEastAsia" w:hAnsi="Arial Narrow"/>
          <w:sz w:val="24"/>
        </w:rPr>
        <w:t>Para el cálculo de distancias entre fases y entre fases y tierra deben mantenerse para una desviación máxima de 30° de la cadena de aisladores con respecto a la vertical.</w:t>
      </w:r>
    </w:p>
    <w:p w:rsidR="00553780" w:rsidRDefault="003E518E" w:rsidP="00553780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Las distancias mínimas de seguridad aplicables serán:</w:t>
      </w:r>
    </w:p>
    <w:p w:rsidR="008E4D18" w:rsidRDefault="008E4D18" w:rsidP="00553780">
      <w:pPr>
        <w:rPr>
          <w:rFonts w:ascii="Arial Narrow" w:hAnsi="Arial Narrow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26"/>
        <w:gridCol w:w="1198"/>
        <w:gridCol w:w="1198"/>
      </w:tblGrid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ANSI C37.32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IEC 60071</w:t>
            </w:r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V 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nominal LL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230 </w:t>
            </w:r>
            <w:proofErr w:type="spellStart"/>
            <w:r>
              <w:rPr>
                <w:rFonts w:ascii="Arial Narrow" w:hAnsi="Arial Narrow"/>
                <w:sz w:val="24"/>
              </w:rPr>
              <w:t>kV</w:t>
            </w:r>
            <w:proofErr w:type="spellEnd"/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-</w:t>
            </w:r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V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 xml:space="preserve"> máximo LL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242 </w:t>
            </w:r>
            <w:proofErr w:type="spellStart"/>
            <w:r>
              <w:rPr>
                <w:rFonts w:ascii="Arial Narrow" w:hAnsi="Arial Narrow"/>
                <w:sz w:val="24"/>
              </w:rPr>
              <w:t>kV</w:t>
            </w:r>
            <w:proofErr w:type="spellEnd"/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245 </w:t>
            </w:r>
            <w:proofErr w:type="spellStart"/>
            <w:r>
              <w:rPr>
                <w:rFonts w:ascii="Arial Narrow" w:hAnsi="Arial Narrow"/>
                <w:sz w:val="24"/>
              </w:rPr>
              <w:t>kV</w:t>
            </w:r>
            <w:proofErr w:type="spellEnd"/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BIL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1050 </w:t>
            </w:r>
            <w:proofErr w:type="spellStart"/>
            <w:r>
              <w:rPr>
                <w:rFonts w:ascii="Arial Narrow" w:hAnsi="Arial Narrow"/>
                <w:sz w:val="24"/>
              </w:rPr>
              <w:t>kV</w:t>
            </w:r>
            <w:proofErr w:type="spellEnd"/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1050 </w:t>
            </w:r>
            <w:proofErr w:type="spellStart"/>
            <w:r>
              <w:rPr>
                <w:rFonts w:ascii="Arial Narrow" w:hAnsi="Arial Narrow"/>
                <w:sz w:val="24"/>
              </w:rPr>
              <w:t>kV</w:t>
            </w:r>
            <w:proofErr w:type="spellEnd"/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</w:t>
            </w:r>
            <w:r w:rsidR="00B35866" w:rsidRPr="00B35866">
              <w:rPr>
                <w:rFonts w:ascii="Arial Narrow" w:hAnsi="Arial Narrow"/>
                <w:sz w:val="24"/>
                <w:vertAlign w:val="subscript"/>
              </w:rPr>
              <w:t xml:space="preserve"> mínima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M</w:t>
            </w:r>
            <w:r>
              <w:rPr>
                <w:rFonts w:ascii="Arial Narrow" w:hAnsi="Arial Narrow"/>
                <w:sz w:val="24"/>
                <w:vertAlign w:val="subscript"/>
              </w:rPr>
              <w:t>etal-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M</w:t>
            </w:r>
            <w:r>
              <w:rPr>
                <w:rFonts w:ascii="Arial Narrow" w:hAnsi="Arial Narrow"/>
                <w:sz w:val="24"/>
                <w:vertAlign w:val="subscript"/>
              </w:rPr>
              <w:t>etal</w:t>
            </w:r>
            <w:r w:rsidR="00B35866">
              <w:rPr>
                <w:rFonts w:ascii="Arial Narrow" w:hAnsi="Arial Narrow"/>
                <w:sz w:val="24"/>
                <w:vertAlign w:val="subscript"/>
              </w:rPr>
              <w:t xml:space="preserve"> conductor rígido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2.67 m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D 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L</w:t>
            </w:r>
            <w:r>
              <w:rPr>
                <w:rFonts w:ascii="Arial Narrow" w:hAnsi="Arial Narrow"/>
                <w:sz w:val="24"/>
                <w:vertAlign w:val="subscript"/>
              </w:rPr>
              <w:t>ínea-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L</w:t>
            </w:r>
            <w:r>
              <w:rPr>
                <w:rFonts w:ascii="Arial Narrow" w:hAnsi="Arial Narrow"/>
                <w:sz w:val="24"/>
                <w:vertAlign w:val="subscript"/>
              </w:rPr>
              <w:t>ínea</w:t>
            </w:r>
            <w:r w:rsidR="00B35866">
              <w:rPr>
                <w:rFonts w:ascii="Arial Narrow" w:hAnsi="Arial Narrow"/>
                <w:sz w:val="24"/>
                <w:vertAlign w:val="subscript"/>
              </w:rPr>
              <w:t xml:space="preserve"> para barra rígida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3.96 m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2.1 m</w:t>
            </w:r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D </w:t>
            </w:r>
            <w:r w:rsidR="003B0254" w:rsidRPr="003B0254">
              <w:rPr>
                <w:rFonts w:ascii="Arial Narrow" w:hAnsi="Arial Narrow"/>
                <w:sz w:val="24"/>
                <w:vertAlign w:val="subscript"/>
              </w:rPr>
              <w:t xml:space="preserve">mínima </w:t>
            </w:r>
            <w:r w:rsidRPr="003B0254">
              <w:rPr>
                <w:rFonts w:ascii="Arial Narrow" w:hAnsi="Arial Narrow"/>
                <w:sz w:val="24"/>
                <w:vertAlign w:val="subscript"/>
              </w:rPr>
              <w:t>Línea-Tierra</w:t>
            </w:r>
            <w:r w:rsidR="00B35866" w:rsidRPr="003B0254">
              <w:rPr>
                <w:rFonts w:ascii="Arial Narrow" w:hAnsi="Arial Narrow"/>
                <w:sz w:val="24"/>
                <w:vertAlign w:val="subscript"/>
              </w:rPr>
              <w:t xml:space="preserve"> conductor rígido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2.11 m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2.1 m</w:t>
            </w:r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</w:t>
            </w:r>
            <w:r w:rsidRPr="003B0254">
              <w:rPr>
                <w:rFonts w:ascii="Arial Narrow" w:hAnsi="Arial Narrow"/>
                <w:sz w:val="24"/>
                <w:vertAlign w:val="subscript"/>
              </w:rPr>
              <w:t xml:space="preserve"> </w:t>
            </w:r>
            <w:r w:rsidR="003B0254" w:rsidRPr="003B0254">
              <w:rPr>
                <w:rFonts w:ascii="Arial Narrow" w:hAnsi="Arial Narrow"/>
                <w:sz w:val="24"/>
                <w:vertAlign w:val="subscript"/>
              </w:rPr>
              <w:t>mínima</w:t>
            </w:r>
            <w:r w:rsidR="003B0254">
              <w:rPr>
                <w:rFonts w:ascii="Arial Narrow" w:hAnsi="Arial Narrow"/>
                <w:sz w:val="24"/>
              </w:rPr>
              <w:t xml:space="preserve"> 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L</w:t>
            </w:r>
            <w:r>
              <w:rPr>
                <w:rFonts w:ascii="Arial Narrow" w:hAnsi="Arial Narrow"/>
                <w:sz w:val="24"/>
                <w:vertAlign w:val="subscript"/>
              </w:rPr>
              <w:t>ínea</w:t>
            </w:r>
            <w:r w:rsidR="003B0254">
              <w:rPr>
                <w:rFonts w:ascii="Arial Narrow" w:hAnsi="Arial Narrow"/>
                <w:sz w:val="24"/>
                <w:vertAlign w:val="subscript"/>
              </w:rPr>
              <w:t xml:space="preserve"> desnuda</w:t>
            </w:r>
            <w:r>
              <w:rPr>
                <w:rFonts w:ascii="Arial Narrow" w:hAnsi="Arial Narrow"/>
                <w:sz w:val="24"/>
                <w:vertAlign w:val="subscript"/>
              </w:rPr>
              <w:t>-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P</w:t>
            </w:r>
            <w:r>
              <w:rPr>
                <w:rFonts w:ascii="Arial Narrow" w:hAnsi="Arial Narrow"/>
                <w:sz w:val="24"/>
                <w:vertAlign w:val="subscript"/>
              </w:rPr>
              <w:t>ersonal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4.88 m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</w:t>
            </w:r>
            <w:r w:rsidRPr="005348B3">
              <w:rPr>
                <w:rFonts w:ascii="Arial Narrow" w:hAnsi="Arial Narrow"/>
                <w:sz w:val="24"/>
                <w:vertAlign w:val="subscript"/>
              </w:rPr>
              <w:t xml:space="preserve"> </w:t>
            </w:r>
            <w:r w:rsidR="005348B3" w:rsidRPr="005348B3">
              <w:rPr>
                <w:rFonts w:ascii="Arial Narrow" w:hAnsi="Arial Narrow"/>
                <w:sz w:val="24"/>
                <w:vertAlign w:val="subscript"/>
              </w:rPr>
              <w:t xml:space="preserve">mínima </w:t>
            </w:r>
            <w:r w:rsidRPr="005348B3">
              <w:rPr>
                <w:rFonts w:ascii="Arial Narrow" w:hAnsi="Arial Narrow"/>
                <w:sz w:val="24"/>
                <w:vertAlign w:val="subscript"/>
              </w:rPr>
              <w:t>Línea</w:t>
            </w:r>
            <w:r w:rsidR="005348B3" w:rsidRPr="005348B3">
              <w:rPr>
                <w:rFonts w:ascii="Arial Narrow" w:hAnsi="Arial Narrow"/>
                <w:sz w:val="24"/>
                <w:vertAlign w:val="subscript"/>
              </w:rPr>
              <w:t xml:space="preserve"> desnuda</w:t>
            </w:r>
            <w:r>
              <w:rPr>
                <w:rFonts w:ascii="Arial Narrow" w:hAnsi="Arial Narrow"/>
                <w:sz w:val="24"/>
                <w:vertAlign w:val="subscript"/>
              </w:rPr>
              <w:t>-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C</w:t>
            </w:r>
            <w:r>
              <w:rPr>
                <w:rFonts w:ascii="Arial Narrow" w:hAnsi="Arial Narrow"/>
                <w:sz w:val="24"/>
                <w:vertAlign w:val="subscript"/>
              </w:rPr>
              <w:t>amino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8.53 m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</w:tbl>
    <w:p w:rsidR="003E518E" w:rsidRDefault="003E518E" w:rsidP="00553780">
      <w:pPr>
        <w:rPr>
          <w:rFonts w:ascii="Arial Narrow" w:hAnsi="Arial Narrow"/>
          <w:sz w:val="24"/>
        </w:rPr>
      </w:pPr>
    </w:p>
    <w:p w:rsidR="00B35866" w:rsidRDefault="00B35866" w:rsidP="00553780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Distancia mínima partes rígidas</w:t>
      </w:r>
    </w:p>
    <w:p w:rsidR="00B35866" w:rsidRPr="00553780" w:rsidRDefault="00B35866" w:rsidP="00553780">
      <w:pPr>
        <w:rPr>
          <w:rFonts w:ascii="Arial Narrow" w:hAnsi="Arial Narrow"/>
          <w:sz w:val="24"/>
        </w:rPr>
      </w:pPr>
    </w:p>
    <w:p w:rsidR="00260852" w:rsidRDefault="00260852" w:rsidP="00CE1163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Distancias entre fases</w:t>
      </w:r>
    </w:p>
    <w:p w:rsidR="00260852" w:rsidRDefault="00260852" w:rsidP="00CE1163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Distancias entre fases y tierra</w:t>
      </w:r>
    </w:p>
    <w:p w:rsidR="00260852" w:rsidRDefault="00260852" w:rsidP="00CE1163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Distancia de fuga para equipos de patio</w:t>
      </w:r>
    </w:p>
    <w:p w:rsidR="00B51639" w:rsidRDefault="00B51639" w:rsidP="00CE1163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Se define distancia de fuga como como la distancia </w:t>
      </w:r>
      <w:r w:rsidR="00D05DE7">
        <w:rPr>
          <w:rFonts w:ascii="Arial Narrow" w:hAnsi="Arial Narrow"/>
          <w:sz w:val="24"/>
        </w:rPr>
        <w:t>más</w:t>
      </w:r>
      <w:r>
        <w:rPr>
          <w:rFonts w:ascii="Arial Narrow" w:hAnsi="Arial Narrow"/>
          <w:sz w:val="24"/>
        </w:rPr>
        <w:t xml:space="preserve"> corta a lo largo de la superficie de un aislador entre dos partes conductoras. La distancia de fuga es:</w:t>
      </w:r>
    </w:p>
    <w:p w:rsidR="00B51639" w:rsidRPr="00B51639" w:rsidRDefault="005441BE" w:rsidP="00CE1163">
      <w:pPr>
        <w:rPr>
          <w:rFonts w:ascii="Arial Narrow" w:eastAsiaTheme="minorEastAsia" w:hAnsi="Arial Narrow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</m:rad>
            </m:den>
          </m:f>
        </m:oMath>
      </m:oMathPara>
    </w:p>
    <w:p w:rsidR="00B51639" w:rsidRDefault="00B51639" w:rsidP="00CE1163">
      <w:pPr>
        <w:rPr>
          <w:rFonts w:ascii="Arial Narrow" w:hAnsi="Arial Narrow"/>
          <w:sz w:val="24"/>
        </w:rPr>
      </w:pPr>
    </w:p>
    <w:p w:rsidR="00B51639" w:rsidRDefault="00B51639" w:rsidP="00B51639">
      <w:pPr>
        <w:jc w:val="center"/>
        <w:rPr>
          <w:rFonts w:ascii="Arial Narrow" w:hAnsi="Arial Narrow"/>
          <w:sz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626CEEFA" wp14:editId="447E310C">
            <wp:extent cx="5402580" cy="2851667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555" cy="28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39" w:rsidRPr="00B51639" w:rsidRDefault="00B51639" w:rsidP="00B51639">
      <w:pPr>
        <w:jc w:val="center"/>
        <w:rPr>
          <w:rFonts w:ascii="Arial Narrow" w:eastAsiaTheme="minorEastAsia" w:hAnsi="Arial Narrow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3.92 b</m:t>
              </m:r>
            </m:num>
            <m:den>
              <m:r>
                <w:rPr>
                  <w:rFonts w:ascii="Cambria Math" w:hAnsi="Cambria Math"/>
                  <w:sz w:val="24"/>
                </w:rPr>
                <m:t>273+T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 [-]</m:t>
          </m:r>
        </m:oMath>
      </m:oMathPara>
    </w:p>
    <w:p w:rsidR="00B51639" w:rsidRPr="0072774D" w:rsidRDefault="005441BE" w:rsidP="00B51639">
      <w:pPr>
        <w:jc w:val="center"/>
        <w:rPr>
          <w:rFonts w:ascii="Arial Narrow" w:eastAsiaTheme="minorEastAsia" w:hAnsi="Arial Narrow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</w:rPr>
                <m:t>b=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76-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18336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sz w:val="24"/>
            </w:rPr>
            <m:t xml:space="preserve"> [cmHg]</m:t>
          </m:r>
        </m:oMath>
      </m:oMathPara>
    </w:p>
    <w:p w:rsidR="0072774D" w:rsidRPr="0072774D" w:rsidRDefault="005441BE" w:rsidP="00B51639">
      <w:pPr>
        <w:jc w:val="center"/>
        <w:rPr>
          <w:rFonts w:ascii="Arial Narrow" w:eastAsiaTheme="minorEastAsia" w:hAnsi="Arial Narrow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 xml:space="preserve">             Si polleras regulares                     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+2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 xml:space="preserve">            Si polleras no regulares</m:t>
                    </m:r>
                  </m:e>
                </m:mr>
              </m:m>
            </m:e>
          </m:d>
        </m:oMath>
      </m:oMathPara>
    </w:p>
    <w:p w:rsidR="007A2737" w:rsidRDefault="007A2737" w:rsidP="00B51639">
      <w:pPr>
        <w:jc w:val="center"/>
        <w:rPr>
          <w:rFonts w:ascii="Arial Narrow" w:eastAsiaTheme="minorEastAsia" w:hAnsi="Arial Narrow"/>
          <w:sz w:val="24"/>
        </w:rPr>
      </w:pPr>
    </w:p>
    <w:p w:rsidR="0072774D" w:rsidRPr="00B51639" w:rsidRDefault="005441BE" w:rsidP="00B51639">
      <w:pPr>
        <w:jc w:val="center"/>
        <w:rPr>
          <w:rFonts w:ascii="Arial Narrow" w:hAnsi="Arial Narrow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1.0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Si 0&lt;D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 xml:space="preserve">&lt;300mm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1.1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Si 300&lt;D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&lt;500mm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1.2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Si 500&lt;D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 xml:space="preserve">                     </m:t>
                    </m:r>
                  </m:e>
                </m:mr>
              </m:m>
            </m:e>
          </m:d>
        </m:oMath>
      </m:oMathPara>
    </w:p>
    <w:p w:rsidR="00260852" w:rsidRDefault="00260852" w:rsidP="00CE1163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Altura de los equipos sobre nivel del suelo</w:t>
      </w:r>
    </w:p>
    <w:p w:rsidR="006B4A4F" w:rsidRDefault="006B4A4F" w:rsidP="00CE1163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La altura mínima de la base de los aisladores que soportan las partes vivas de los equipos no deberá ser menor a 2.25 m que es la altura promedio de una persona con un brazo levantado.</w:t>
      </w:r>
      <w:r w:rsidR="00C81301">
        <w:rPr>
          <w:rFonts w:ascii="Arial Narrow" w:hAnsi="Arial Narrow"/>
          <w:sz w:val="24"/>
        </w:rPr>
        <w:t xml:space="preserve"> También se considera como el primer nivel de barras. En esta definición se encuentran equipos como pararrayos, transformadores de medida, trampas de onda, </w:t>
      </w:r>
      <w:proofErr w:type="spellStart"/>
      <w:r w:rsidR="00C81301">
        <w:rPr>
          <w:rFonts w:ascii="Arial Narrow" w:hAnsi="Arial Narrow"/>
          <w:sz w:val="24"/>
        </w:rPr>
        <w:t>desconectadores</w:t>
      </w:r>
      <w:proofErr w:type="spellEnd"/>
      <w:r w:rsidR="00C81301">
        <w:rPr>
          <w:rFonts w:ascii="Arial Narrow" w:hAnsi="Arial Narrow"/>
          <w:sz w:val="24"/>
        </w:rPr>
        <w:t xml:space="preserve"> e interruptores.</w:t>
      </w:r>
    </w:p>
    <w:p w:rsidR="007A2737" w:rsidRPr="007A2737" w:rsidRDefault="005441BE" w:rsidP="00CE1163">
      <w:pPr>
        <w:rPr>
          <w:rFonts w:ascii="Arial Narrow" w:eastAsiaTheme="minorEastAsia" w:hAnsi="Arial Narrow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 xml:space="preserve">=2.25+0.0105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max</m:t>
              </m:r>
            </m:sub>
          </m:sSub>
        </m:oMath>
      </m:oMathPara>
    </w:p>
    <w:p w:rsidR="007A2737" w:rsidRPr="007A2737" w:rsidRDefault="007A2737" w:rsidP="00CE1163">
      <w:pPr>
        <w:rPr>
          <w:rFonts w:ascii="Arial Narrow" w:eastAsiaTheme="minorEastAsia" w:hAnsi="Arial Narrow"/>
          <w:sz w:val="24"/>
        </w:rPr>
      </w:pPr>
      <w:r>
        <w:rPr>
          <w:rFonts w:ascii="Arial Narrow" w:eastAsiaTheme="minorEastAsia" w:hAnsi="Arial Narrow"/>
          <w:sz w:val="24"/>
        </w:rPr>
        <w:t>Altura de las barras sobre nivel de suelo considera la posibilidad de que al pasar una persona por debajo de las barras, ésta reciba la sensación de campo eléctrico.</w:t>
      </w:r>
    </w:p>
    <w:p w:rsidR="007A2737" w:rsidRPr="007A2737" w:rsidRDefault="005441BE" w:rsidP="00CE1163">
      <w:pPr>
        <w:rPr>
          <w:rFonts w:ascii="Arial Narrow" w:eastAsiaTheme="minorEastAsia" w:hAnsi="Arial Narrow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 xml:space="preserve">=5+0.0125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max</m:t>
              </m:r>
            </m:sub>
          </m:sSub>
        </m:oMath>
      </m:oMathPara>
    </w:p>
    <w:p w:rsidR="007A2737" w:rsidRDefault="00C81301" w:rsidP="00CE1163">
      <w:pPr>
        <w:rPr>
          <w:rFonts w:ascii="Arial Narrow" w:eastAsiaTheme="minorEastAsia" w:hAnsi="Arial Narrow"/>
          <w:sz w:val="24"/>
        </w:rPr>
      </w:pPr>
      <w:r>
        <w:rPr>
          <w:rFonts w:ascii="Arial Narrow" w:eastAsiaTheme="minorEastAsia" w:hAnsi="Arial Narrow"/>
          <w:sz w:val="24"/>
        </w:rPr>
        <w:t xml:space="preserve">Los conductores de las líneas de transmisión que llegan o salen de una subestación no deben rematar a una altura inferior a 6 metros. </w:t>
      </w:r>
      <w:r w:rsidR="007A2737">
        <w:rPr>
          <w:rFonts w:ascii="Arial Narrow" w:eastAsiaTheme="minorEastAsia" w:hAnsi="Arial Narrow"/>
          <w:sz w:val="24"/>
        </w:rPr>
        <w:t>Altura de remate de las líneas de la subestación</w:t>
      </w:r>
      <w:r>
        <w:rPr>
          <w:rFonts w:ascii="Arial Narrow" w:eastAsiaTheme="minorEastAsia" w:hAnsi="Arial Narrow"/>
          <w:sz w:val="24"/>
        </w:rPr>
        <w:t xml:space="preserve"> es:</w:t>
      </w:r>
    </w:p>
    <w:p w:rsidR="007A2737" w:rsidRPr="006B4A4F" w:rsidRDefault="005441BE" w:rsidP="00CE1163">
      <w:pPr>
        <w:rPr>
          <w:rFonts w:ascii="Arial Narrow" w:hAnsi="Arial Narrow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=5+0.006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max</m:t>
              </m:r>
            </m:sub>
          </m:sSub>
        </m:oMath>
      </m:oMathPara>
    </w:p>
    <w:p w:rsidR="00260852" w:rsidRDefault="00260852" w:rsidP="00CE1163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Altura de las barras sobre el nivel del suelo</w:t>
      </w:r>
    </w:p>
    <w:p w:rsidR="00260852" w:rsidRDefault="00260852" w:rsidP="00CE1163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Altura de remate de la línea de transmisión de llegada a la subestación</w:t>
      </w:r>
    </w:p>
    <w:p w:rsidR="00811F5B" w:rsidRPr="00260852" w:rsidRDefault="00811F5B" w:rsidP="00CE1163">
      <w:pPr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t>Cálculo de la distancia de fuga</w:t>
      </w:r>
    </w:p>
    <w:p w:rsidR="00811F5B" w:rsidRPr="00260852" w:rsidRDefault="00811F5B" w:rsidP="00CE1163">
      <w:pPr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t>Determinación de la cadena de aisladores</w:t>
      </w:r>
    </w:p>
    <w:p w:rsidR="00811F5B" w:rsidRPr="00260852" w:rsidRDefault="00811F5B" w:rsidP="00CE1163">
      <w:pPr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t>Disposición de la subestación</w:t>
      </w:r>
    </w:p>
    <w:p w:rsidR="00811F5B" w:rsidRPr="00260852" w:rsidRDefault="00811F5B" w:rsidP="00CE1163">
      <w:pPr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t>Anexos</w:t>
      </w:r>
    </w:p>
    <w:p w:rsidR="00811F5B" w:rsidRDefault="00811F5B" w:rsidP="00CE1163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Catálogo del aislador seleccionado</w:t>
      </w:r>
    </w:p>
    <w:p w:rsidR="00811F5B" w:rsidRDefault="00811F5B" w:rsidP="00811F5B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Catálogo del interruptor seleccionado</w:t>
      </w:r>
    </w:p>
    <w:p w:rsidR="00811F5B" w:rsidRDefault="00811F5B" w:rsidP="00811F5B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Catálogo del transformador de corriente seleccionado</w:t>
      </w:r>
    </w:p>
    <w:p w:rsidR="00811F5B" w:rsidRDefault="00811F5B" w:rsidP="00811F5B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Catálogo del transformador de potencial seleccionado</w:t>
      </w:r>
    </w:p>
    <w:p w:rsidR="00811F5B" w:rsidRDefault="00811F5B" w:rsidP="00811F5B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Catálogo del aislador de pedestal seleccionado</w:t>
      </w:r>
    </w:p>
    <w:p w:rsidR="00811F5B" w:rsidRDefault="00811F5B" w:rsidP="00811F5B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Catálogo del pararrayo seleccionado</w:t>
      </w:r>
    </w:p>
    <w:p w:rsidR="002234DB" w:rsidRPr="00AC7352" w:rsidRDefault="002234DB" w:rsidP="00CE1163">
      <w:pPr>
        <w:rPr>
          <w:rFonts w:ascii="Arial Narrow" w:hAnsi="Arial Narrow"/>
        </w:rPr>
      </w:pPr>
    </w:p>
    <w:p w:rsidR="00CE1163" w:rsidRPr="00AC7352" w:rsidRDefault="00CE1163" w:rsidP="002234DB">
      <w:pPr>
        <w:jc w:val="center"/>
        <w:rPr>
          <w:rFonts w:ascii="Arial Narrow" w:hAnsi="Arial Narrow"/>
        </w:rPr>
      </w:pPr>
    </w:p>
    <w:p w:rsidR="002234DB" w:rsidRPr="00AC7352" w:rsidRDefault="002234DB" w:rsidP="00A90E21">
      <w:pPr>
        <w:rPr>
          <w:rFonts w:ascii="Arial Narrow" w:hAnsi="Arial Narrow"/>
        </w:rPr>
      </w:pPr>
    </w:p>
    <w:p w:rsidR="002234DB" w:rsidRPr="00AC7352" w:rsidRDefault="002234DB" w:rsidP="002234DB">
      <w:pPr>
        <w:rPr>
          <w:rFonts w:ascii="Arial Narrow" w:hAnsi="Arial Narrow"/>
        </w:rPr>
      </w:pPr>
    </w:p>
    <w:p w:rsidR="002234DB" w:rsidRPr="00AC7352" w:rsidRDefault="002234DB" w:rsidP="002234DB">
      <w:pPr>
        <w:rPr>
          <w:rFonts w:ascii="Arial Narrow" w:hAnsi="Arial Narrow"/>
        </w:rPr>
      </w:pPr>
    </w:p>
    <w:p w:rsidR="002234DB" w:rsidRPr="00AC7352" w:rsidRDefault="002234DB" w:rsidP="002234DB">
      <w:pPr>
        <w:rPr>
          <w:rFonts w:ascii="Arial Narrow" w:hAnsi="Arial Narrow"/>
        </w:rPr>
      </w:pPr>
    </w:p>
    <w:p w:rsidR="00A90E21" w:rsidRDefault="00A90E21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2234DB" w:rsidRPr="00AC7352" w:rsidRDefault="002234DB" w:rsidP="002234DB">
      <w:pPr>
        <w:rPr>
          <w:rFonts w:ascii="Arial Narrow" w:hAnsi="Arial Narrow"/>
          <w:b/>
          <w:sz w:val="24"/>
        </w:rPr>
      </w:pPr>
      <w:r w:rsidRPr="00AC7352">
        <w:rPr>
          <w:rFonts w:ascii="Arial Narrow" w:hAnsi="Arial Narrow"/>
          <w:b/>
          <w:sz w:val="24"/>
        </w:rPr>
        <w:lastRenderedPageBreak/>
        <w:t>Cálculos intermedios</w:t>
      </w:r>
    </w:p>
    <w:p w:rsidR="00A90E21" w:rsidRDefault="003B14A9">
      <w:pPr>
        <w:rPr>
          <w:rFonts w:ascii="Arial Narrow" w:hAnsi="Arial Narrow"/>
          <w:b/>
        </w:rPr>
      </w:pPr>
      <w:r w:rsidRPr="003B14A9">
        <w:rPr>
          <w:rFonts w:ascii="Arial Narrow" w:hAnsi="Arial Narrow"/>
          <w:b/>
        </w:rPr>
        <w:t>Cálculo de corrientes nominales</w:t>
      </w:r>
    </w:p>
    <w:p w:rsidR="003B14A9" w:rsidRPr="003B14A9" w:rsidRDefault="005441BE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nominal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</m:sSub>
            </m:den>
          </m:f>
        </m:oMath>
      </m:oMathPara>
    </w:p>
    <w:p w:rsidR="003B14A9" w:rsidRPr="003B14A9" w:rsidRDefault="005441BE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220</m:t>
              </m:r>
            </m:den>
          </m:f>
          <m:r>
            <w:rPr>
              <w:rFonts w:ascii="Cambria Math" w:eastAsiaTheme="minorEastAsia" w:hAnsi="Cambria Math"/>
            </w:rPr>
            <m:t>=131 A (AT)</m:t>
          </m:r>
        </m:oMath>
      </m:oMathPara>
    </w:p>
    <w:p w:rsidR="003B14A9" w:rsidRPr="003B14A9" w:rsidRDefault="005441BE">
      <w:pPr>
        <w:rPr>
          <w:rFonts w:ascii="Arial Narrow" w:hAnsi="Arial Narrow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23</m:t>
              </m:r>
            </m:den>
          </m:f>
          <m:r>
            <w:rPr>
              <w:rFonts w:ascii="Cambria Math" w:hAnsi="Cambria Math"/>
            </w:rPr>
            <m:t>=1255 A (BT)</m:t>
          </m:r>
        </m:oMath>
      </m:oMathPara>
    </w:p>
    <w:p w:rsidR="002234DB" w:rsidRPr="00AC7352" w:rsidRDefault="002234DB" w:rsidP="002234DB">
      <w:pPr>
        <w:rPr>
          <w:rFonts w:ascii="Arial Narrow" w:hAnsi="Arial Narrow"/>
          <w:b/>
          <w:sz w:val="24"/>
        </w:rPr>
      </w:pPr>
      <w:r w:rsidRPr="00AC7352">
        <w:rPr>
          <w:rFonts w:ascii="Arial Narrow" w:hAnsi="Arial Narrow"/>
          <w:b/>
          <w:sz w:val="24"/>
        </w:rPr>
        <w:t xml:space="preserve">Cálculo de </w:t>
      </w:r>
      <w:r w:rsidR="00B7424A">
        <w:rPr>
          <w:rFonts w:ascii="Arial Narrow" w:hAnsi="Arial Narrow"/>
          <w:b/>
          <w:sz w:val="24"/>
        </w:rPr>
        <w:t>corrientes de cortocircuito</w:t>
      </w:r>
    </w:p>
    <w:p w:rsidR="002234DB" w:rsidRDefault="00B7424A" w:rsidP="002234D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El sistema equivalente en barra de 220 </w:t>
      </w:r>
      <w:proofErr w:type="spellStart"/>
      <w:r>
        <w:rPr>
          <w:rFonts w:ascii="Arial Narrow" w:hAnsi="Arial Narrow"/>
        </w:rPr>
        <w:t>kV</w:t>
      </w:r>
      <w:proofErr w:type="spellEnd"/>
      <w:r>
        <w:rPr>
          <w:rFonts w:ascii="Arial Narrow" w:hAnsi="Arial Narrow"/>
        </w:rPr>
        <w:t xml:space="preserve"> tiene los siguientes parámetros:</w:t>
      </w:r>
    </w:p>
    <w:p w:rsidR="0090790C" w:rsidRDefault="0090790C" w:rsidP="002234DB">
      <w:pPr>
        <w:rPr>
          <w:rFonts w:ascii="Arial Narrow" w:eastAsiaTheme="minorEastAsia" w:hAnsi="Arial Narrow"/>
        </w:rPr>
      </w:pPr>
    </w:p>
    <w:p w:rsidR="0090790C" w:rsidRPr="004B2F83" w:rsidRDefault="005441BE" w:rsidP="002234DB">
      <w:pPr>
        <w:rPr>
          <w:rFonts w:ascii="Arial Narrow" w:eastAsiaTheme="minorEastAsia" w:hAnsi="Arial Narr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sistema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coci 3f</m:t>
                  </m:r>
                </m:sub>
              </m:sSub>
            </m:den>
          </m:f>
        </m:oMath>
      </m:oMathPara>
    </w:p>
    <w:p w:rsidR="004B2F83" w:rsidRPr="00F81694" w:rsidRDefault="005441BE" w:rsidP="002234DB">
      <w:pPr>
        <w:rPr>
          <w:rFonts w:ascii="Arial Narrow" w:eastAsiaTheme="minorEastAsia" w:hAnsi="Arial Narr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sistema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6859</m:t>
              </m:r>
            </m:den>
          </m:f>
          <m:r>
            <w:rPr>
              <w:rFonts w:ascii="Cambria Math" w:hAnsi="Cambria Math"/>
            </w:rPr>
            <m:t xml:space="preserve">=7.06 </m:t>
          </m:r>
          <m:r>
            <m:rPr>
              <m:sty m:val="p"/>
            </m:rPr>
            <w:rPr>
              <w:rFonts w:ascii="Cambria Math" w:hAnsi="Cambria Math"/>
            </w:rPr>
            <m:t>Ω (AT)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81694" w:rsidRPr="002F5EDA" w:rsidRDefault="005441BE" w:rsidP="00F81694">
      <w:pPr>
        <w:rPr>
          <w:rFonts w:ascii="Arial Narrow" w:eastAsiaTheme="minorEastAsia" w:hAnsi="Arial Narr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sistema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6859</m:t>
              </m:r>
            </m:den>
          </m:f>
          <m:r>
            <w:rPr>
              <w:rFonts w:ascii="Cambria Math" w:hAnsi="Cambria Math"/>
            </w:rPr>
            <m:t xml:space="preserve">=0.07 </m:t>
          </m:r>
          <m:r>
            <m:rPr>
              <m:sty m:val="p"/>
            </m:rPr>
            <w:rPr>
              <w:rFonts w:ascii="Cambria Math" w:hAnsi="Cambria Math"/>
            </w:rPr>
            <m:t>Ω (BT)</m:t>
          </m:r>
        </m:oMath>
      </m:oMathPara>
    </w:p>
    <w:p w:rsidR="002F5EDA" w:rsidRPr="004B2F83" w:rsidRDefault="002F5EDA" w:rsidP="002234DB">
      <w:pPr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sistema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coci 1f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-2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sistema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sup>
          </m:sSubSup>
        </m:oMath>
      </m:oMathPara>
    </w:p>
    <w:p w:rsidR="004B2F83" w:rsidRPr="0090790C" w:rsidRDefault="005441BE" w:rsidP="004B2F83">
      <w:pPr>
        <w:rPr>
          <w:rFonts w:ascii="Arial Narrow" w:eastAsiaTheme="minorEastAsia" w:hAnsi="Arial Narr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sistema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8002</m:t>
              </m:r>
            </m:den>
          </m:f>
          <m:r>
            <w:rPr>
              <w:rFonts w:ascii="Cambria Math" w:hAnsi="Cambria Math"/>
            </w:rPr>
            <m:t xml:space="preserve">-2 7.06=-3.64 </m:t>
          </m:r>
          <m:r>
            <m:rPr>
              <m:sty m:val="p"/>
            </m:rPr>
            <w:rPr>
              <w:rFonts w:ascii="Cambria Math" w:hAnsi="Cambria Math"/>
            </w:rPr>
            <m:t>Ω (AT)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B7424A" w:rsidRPr="00A05E0B" w:rsidRDefault="005441BE" w:rsidP="002234DB">
      <w:pPr>
        <w:rPr>
          <w:rFonts w:ascii="Arial Narrow" w:eastAsiaTheme="minorEastAsia" w:hAnsi="Arial Narr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trafo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coci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nominal</m:t>
                  </m:r>
                </m:sub>
              </m:sSub>
            </m:den>
          </m:f>
        </m:oMath>
      </m:oMathPara>
    </w:p>
    <w:p w:rsidR="00A05E0B" w:rsidRPr="00A05E0B" w:rsidRDefault="005441BE" w:rsidP="002234DB">
      <w:pPr>
        <w:rPr>
          <w:rFonts w:ascii="Arial Narrow" w:eastAsiaTheme="minorEastAsia" w:hAnsi="Arial Narr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trafo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sup>
          </m:sSubSup>
          <m:r>
            <w:rPr>
              <w:rFonts w:ascii="Cambria Math" w:hAnsi="Cambria Math"/>
            </w:rPr>
            <m:t>=0.07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 xml:space="preserve">=0.74 </m:t>
          </m:r>
          <m:r>
            <m:rPr>
              <m:sty m:val="p"/>
            </m:rPr>
            <w:rPr>
              <w:rFonts w:ascii="Cambria Math" w:hAnsi="Cambria Math"/>
            </w:rPr>
            <m:t>Ω (BT)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A05E0B" w:rsidRDefault="00A05E0B" w:rsidP="002234DB">
      <w:pPr>
        <w:rPr>
          <w:rFonts w:ascii="Arial Narrow" w:eastAsiaTheme="minorEastAsia" w:hAnsi="Arial Narrow"/>
        </w:rPr>
      </w:pPr>
    </w:p>
    <w:p w:rsidR="00B7424A" w:rsidRDefault="00B7424A" w:rsidP="002234DB">
      <w:pPr>
        <w:rPr>
          <w:rFonts w:ascii="Arial Narrow" w:eastAsiaTheme="minorEastAsia" w:hAnsi="Arial Narrow"/>
        </w:rPr>
      </w:pPr>
    </w:p>
    <w:p w:rsidR="00B7424A" w:rsidRDefault="00B7424A" w:rsidP="002234DB">
      <w:pPr>
        <w:rPr>
          <w:rFonts w:ascii="Arial Narrow" w:eastAsiaTheme="minorEastAsia" w:hAnsi="Arial Narrow"/>
        </w:rPr>
      </w:pPr>
      <w:r>
        <w:rPr>
          <w:rFonts w:ascii="Arial Narrow" w:eastAsiaTheme="minorEastAsia" w:hAnsi="Arial Narrow"/>
        </w:rPr>
        <w:t>Luego considerando el grupo de conexión del transformador y que para limitar la corriente de falla residual a 200 A se tiene:</w:t>
      </w:r>
    </w:p>
    <w:p w:rsidR="00B7424A" w:rsidRDefault="00B7424A" w:rsidP="002234DB">
      <w:pPr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 xml:space="preserve">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sistema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func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+ Z</m:t>
                  </m:r>
                </m:e>
                <m:sub>
                  <m:r>
                    <w:rPr>
                      <w:rFonts w:ascii="Cambria Math" w:hAnsi="Cambria Math"/>
                    </w:rPr>
                    <m:t>trafo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func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trafo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sup>
          </m:sSubSup>
          <m:r>
            <w:rPr>
              <w:rFonts w:ascii="Cambria Math" w:hAnsi="Cambria Math"/>
            </w:rPr>
            <m:t xml:space="preserve">+3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neutro</m:t>
              </m:r>
            </m:sub>
          </m:sSub>
          <m:r>
            <w:rPr>
              <w:rFonts w:ascii="Cambria Math" w:hAnsi="Cambria Math"/>
            </w:rPr>
            <m:t>=3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coci 1f</m:t>
                  </m:r>
                </m:sub>
              </m:sSub>
            </m:den>
          </m:f>
        </m:oMath>
      </m:oMathPara>
    </w:p>
    <w:p w:rsidR="00B7424A" w:rsidRDefault="005441BE" w:rsidP="002234DB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neutro</m:t>
              </m:r>
            </m:sub>
          </m:sSub>
          <m:r>
            <w:rPr>
              <w:rFonts w:ascii="Cambria Math" w:hAnsi="Cambria Math"/>
            </w:rPr>
            <m:t xml:space="preserve">=114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2F5EDA" w:rsidRDefault="002D56E3" w:rsidP="002234DB">
      <w:pPr>
        <w:rPr>
          <w:rFonts w:ascii="Arial Narrow" w:eastAsiaTheme="minorEastAsia" w:hAnsi="Arial Narrow"/>
        </w:rPr>
      </w:pPr>
      <w:r>
        <w:rPr>
          <w:rFonts w:ascii="Arial Narrow" w:eastAsiaTheme="minorEastAsia" w:hAnsi="Arial Narrow"/>
        </w:rPr>
        <w:t>Mientras que para una falla trifásica:</w:t>
      </w:r>
    </w:p>
    <w:p w:rsidR="002D56E3" w:rsidRPr="002D56E3" w:rsidRDefault="005441BE" w:rsidP="002234DB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coci 3f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sistema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func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+ Z</m:t>
                  </m:r>
                </m:e>
                <m:sub>
                  <m:r>
                    <w:rPr>
                      <w:rFonts w:ascii="Cambria Math" w:hAnsi="Cambria Math"/>
                    </w:rPr>
                    <m:t>trafo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func>
                </m:sup>
              </m:sSubSup>
            </m:den>
          </m:f>
        </m:oMath>
      </m:oMathPara>
    </w:p>
    <w:p w:rsidR="002D56E3" w:rsidRPr="0090790C" w:rsidRDefault="005441BE" w:rsidP="002234DB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coci 3f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23000</m:t>
              </m:r>
            </m:num>
            <m:den>
              <m:r>
                <w:rPr>
                  <w:rFonts w:ascii="Cambria Math" w:hAnsi="Cambria Math"/>
                </w:rPr>
                <m:t>0.07+0.74</m:t>
              </m:r>
            </m:den>
          </m:f>
          <m:r>
            <w:rPr>
              <w:rFonts w:ascii="Cambria Math" w:hAnsi="Cambria Math"/>
            </w:rPr>
            <m:t>=28.5 kA</m:t>
          </m:r>
        </m:oMath>
      </m:oMathPara>
    </w:p>
    <w:p w:rsidR="00F94D54" w:rsidRDefault="00F94D54" w:rsidP="00F94D54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Conclusiones</w:t>
      </w:r>
    </w:p>
    <w:p w:rsidR="00D63EAF" w:rsidRPr="00F94D54" w:rsidRDefault="00F846A1" w:rsidP="00F846A1">
      <w:pPr>
        <w:pStyle w:val="Prrafodelista"/>
        <w:ind w:left="0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 xml:space="preserve"> </w:t>
      </w:r>
    </w:p>
    <w:sectPr w:rsidR="00D63EAF" w:rsidRPr="00F94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B5F12"/>
    <w:multiLevelType w:val="hybridMultilevel"/>
    <w:tmpl w:val="13168E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C1485"/>
    <w:multiLevelType w:val="hybridMultilevel"/>
    <w:tmpl w:val="BECE82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804D4"/>
    <w:multiLevelType w:val="hybridMultilevel"/>
    <w:tmpl w:val="B40837C6"/>
    <w:lvl w:ilvl="0" w:tplc="F1C22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665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80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82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85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89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65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4A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F73EDA"/>
    <w:multiLevelType w:val="hybridMultilevel"/>
    <w:tmpl w:val="519A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E59B4"/>
    <w:multiLevelType w:val="hybridMultilevel"/>
    <w:tmpl w:val="CC6ABC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17BF0"/>
    <w:multiLevelType w:val="hybridMultilevel"/>
    <w:tmpl w:val="13168E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L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63"/>
    <w:rsid w:val="001205DA"/>
    <w:rsid w:val="0015628B"/>
    <w:rsid w:val="002234DB"/>
    <w:rsid w:val="00223B55"/>
    <w:rsid w:val="00225F78"/>
    <w:rsid w:val="00260852"/>
    <w:rsid w:val="002A161C"/>
    <w:rsid w:val="002D56E3"/>
    <w:rsid w:val="002F5EDA"/>
    <w:rsid w:val="00300B9D"/>
    <w:rsid w:val="00346806"/>
    <w:rsid w:val="003B0254"/>
    <w:rsid w:val="003B14A9"/>
    <w:rsid w:val="003E235B"/>
    <w:rsid w:val="003E518E"/>
    <w:rsid w:val="00457896"/>
    <w:rsid w:val="004B2F83"/>
    <w:rsid w:val="004B7804"/>
    <w:rsid w:val="005348B3"/>
    <w:rsid w:val="005441BE"/>
    <w:rsid w:val="00553780"/>
    <w:rsid w:val="00611D07"/>
    <w:rsid w:val="00632C54"/>
    <w:rsid w:val="00696CC5"/>
    <w:rsid w:val="006A4670"/>
    <w:rsid w:val="006B4A4F"/>
    <w:rsid w:val="006C42DB"/>
    <w:rsid w:val="007276B8"/>
    <w:rsid w:val="0072774D"/>
    <w:rsid w:val="007A2737"/>
    <w:rsid w:val="007F6409"/>
    <w:rsid w:val="00811F5B"/>
    <w:rsid w:val="00885A3A"/>
    <w:rsid w:val="008A6BB2"/>
    <w:rsid w:val="008B51F0"/>
    <w:rsid w:val="008E4D18"/>
    <w:rsid w:val="0090790C"/>
    <w:rsid w:val="00913363"/>
    <w:rsid w:val="00993317"/>
    <w:rsid w:val="009B5DFA"/>
    <w:rsid w:val="00A05E0B"/>
    <w:rsid w:val="00A90E21"/>
    <w:rsid w:val="00AA7DF9"/>
    <w:rsid w:val="00AC7352"/>
    <w:rsid w:val="00AE0E30"/>
    <w:rsid w:val="00B35866"/>
    <w:rsid w:val="00B51639"/>
    <w:rsid w:val="00B7424A"/>
    <w:rsid w:val="00C8070D"/>
    <w:rsid w:val="00C81301"/>
    <w:rsid w:val="00CB684F"/>
    <w:rsid w:val="00CC37A7"/>
    <w:rsid w:val="00CE1163"/>
    <w:rsid w:val="00D0190F"/>
    <w:rsid w:val="00D05DE7"/>
    <w:rsid w:val="00D52CF8"/>
    <w:rsid w:val="00D63EAF"/>
    <w:rsid w:val="00DA30FC"/>
    <w:rsid w:val="00DC52F3"/>
    <w:rsid w:val="00E45311"/>
    <w:rsid w:val="00E51B28"/>
    <w:rsid w:val="00F16B0E"/>
    <w:rsid w:val="00F81694"/>
    <w:rsid w:val="00F846A1"/>
    <w:rsid w:val="00F86105"/>
    <w:rsid w:val="00F94D54"/>
    <w:rsid w:val="00FA594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B906E-386A-41D3-B0D9-289C93CE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1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23B55"/>
    <w:rPr>
      <w:color w:val="808080"/>
    </w:rPr>
  </w:style>
  <w:style w:type="table" w:styleId="Tablaconcuadrcula">
    <w:name w:val="Table Grid"/>
    <w:basedOn w:val="Tablanormal"/>
    <w:uiPriority w:val="39"/>
    <w:rsid w:val="007F6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CC9F5-6EDF-4F08-9539-A520C43D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870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Diego Cisternas</cp:lastModifiedBy>
  <cp:revision>23</cp:revision>
  <dcterms:created xsi:type="dcterms:W3CDTF">2018-07-30T00:59:00Z</dcterms:created>
  <dcterms:modified xsi:type="dcterms:W3CDTF">2018-08-03T20:49:00Z</dcterms:modified>
</cp:coreProperties>
</file>