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4"/>
          <w:szCs w:val="24"/>
        </w:rPr>
      </w:pPr>
      <w:r w:rsidDel="00000000" w:rsidR="00000000" w:rsidRPr="00000000">
        <w:rPr>
          <w:b w:val="1"/>
          <w:sz w:val="24"/>
          <w:szCs w:val="24"/>
          <w:rtl w:val="0"/>
        </w:rPr>
        <w:t xml:space="preserve">Merchant Registration Info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Allow users with </w:t>
      </w:r>
      <w:r w:rsidDel="00000000" w:rsidR="00000000" w:rsidRPr="00000000">
        <w:rPr>
          <w:sz w:val="24"/>
          <w:szCs w:val="24"/>
          <w:u w:val="single"/>
          <w:rtl w:val="0"/>
        </w:rPr>
        <w:t xml:space="preserve">audit</w:t>
      </w:r>
      <w:r w:rsidDel="00000000" w:rsidR="00000000" w:rsidRPr="00000000">
        <w:rPr>
          <w:sz w:val="24"/>
          <w:szCs w:val="24"/>
          <w:rtl w:val="0"/>
        </w:rPr>
        <w:t xml:space="preserve"> </w:t>
      </w:r>
      <w:r w:rsidDel="00000000" w:rsidR="00000000" w:rsidRPr="00000000">
        <w:rPr>
          <w:sz w:val="24"/>
          <w:szCs w:val="24"/>
          <w:rtl w:val="0"/>
        </w:rPr>
        <w:t xml:space="preserve">access to update</w:t>
      </w:r>
    </w:p>
    <w:p w:rsidR="00000000" w:rsidDel="00000000" w:rsidP="00000000" w:rsidRDefault="00000000" w:rsidRPr="00000000" w14:paraId="00000003">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merchant's acquire config</w:t>
      </w:r>
    </w:p>
    <w:p w:rsidR="00000000" w:rsidDel="00000000" w:rsidP="00000000" w:rsidRDefault="00000000" w:rsidRPr="00000000" w14:paraId="00000004">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Limited scope to changes among Citcon USD, Citcon USD AMS USD Acq, Citcon - Geoswift USD, Citcon USD - AMS</w:t>
      </w:r>
    </w:p>
    <w:p w:rsidR="00000000" w:rsidDel="00000000" w:rsidP="00000000" w:rsidRDefault="00000000" w:rsidRPr="00000000" w14:paraId="00000005">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Database tables to update: alipay.partners.vendor_key </w:t>
      </w:r>
    </w:p>
    <w:p w:rsidR="00000000" w:rsidDel="00000000" w:rsidP="00000000" w:rsidRDefault="00000000" w:rsidRPr="00000000" w14:paraId="00000006">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posp2.merchants.vendor_key</w:t>
      </w:r>
    </w:p>
    <w:p w:rsidR="00000000" w:rsidDel="00000000" w:rsidP="00000000" w:rsidRDefault="00000000" w:rsidRPr="00000000" w14:paraId="00000007">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internal_reporting.merchant_legal_entities.merchant_info</w:t>
      </w:r>
    </w:p>
    <w:p w:rsidR="00000000" w:rsidDel="00000000" w:rsidP="00000000" w:rsidRDefault="00000000" w:rsidRPr="00000000" w14:paraId="00000008">
      <w:pPr>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If updated merchant's acquiring config is Citcon USD AMS USD Acq, additional configurations are required</w:t>
      </w:r>
    </w:p>
    <w:p w:rsidR="00000000" w:rsidDel="00000000" w:rsidP="00000000" w:rsidRDefault="00000000" w:rsidRPr="00000000" w14:paraId="00000009">
      <w:pPr>
        <w:numPr>
          <w:ilvl w:val="2"/>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Insert into posp2.vendor_merchant_mapping, vendor = ALP, vendor_name = AMS, vendor_token = 5Y31162Y74T003183</w:t>
      </w:r>
    </w:p>
    <w:p w:rsidR="00000000" w:rsidDel="00000000" w:rsidP="00000000" w:rsidRDefault="00000000" w:rsidRPr="00000000" w14:paraId="0000000A">
      <w:pPr>
        <w:numPr>
          <w:ilvl w:val="2"/>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Insert into settlement.merchant_fee_info, merchant_id, fee_vendor = ams, fee_type = ams, merchant_discount_rate = alipay rate, merchant_fixed_fee = alipay fee</w:t>
      </w:r>
    </w:p>
    <w:p w:rsidR="00000000" w:rsidDel="00000000" w:rsidP="00000000" w:rsidRDefault="00000000" w:rsidRPr="00000000" w14:paraId="0000000B">
      <w:pPr>
        <w:numPr>
          <w:ilvl w:val="2"/>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Internal_reporting.merchant_legal_entities.rate_info</w:t>
      </w:r>
    </w:p>
    <w:p w:rsidR="00000000" w:rsidDel="00000000" w:rsidP="00000000" w:rsidRDefault="00000000" w:rsidRPr="00000000" w14:paraId="0000000C">
      <w:pPr>
        <w:numPr>
          <w:ilvl w:val="2"/>
          <w:numId w:val="3"/>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AMS rate will be shown in the rate section, and the alipay rate will be copy and pasted into AMS rates. </w:t>
      </w:r>
    </w:p>
    <w:p w:rsidR="00000000" w:rsidDel="00000000" w:rsidP="00000000" w:rsidRDefault="00000000" w:rsidRPr="00000000" w14:paraId="0000000D">
      <w:pPr>
        <w:numPr>
          <w:ilvl w:val="1"/>
          <w:numId w:val="3"/>
        </w:numPr>
        <w:spacing w:after="240" w:before="0" w:beforeAutospacing="0" w:lineRule="auto"/>
        <w:ind w:left="1440" w:hanging="360"/>
        <w:rPr>
          <w:sz w:val="24"/>
          <w:szCs w:val="24"/>
          <w:u w:val="none"/>
        </w:rPr>
      </w:pPr>
      <w:r w:rsidDel="00000000" w:rsidR="00000000" w:rsidRPr="00000000">
        <w:rPr>
          <w:sz w:val="24"/>
          <w:szCs w:val="24"/>
          <w:rtl w:val="0"/>
        </w:rPr>
        <w:t xml:space="preserve">b/c/d/e points are for reference only, there may be more database change required</w:t>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Allow users with </w:t>
      </w:r>
      <w:r w:rsidDel="00000000" w:rsidR="00000000" w:rsidRPr="00000000">
        <w:rPr>
          <w:sz w:val="24"/>
          <w:szCs w:val="24"/>
          <w:u w:val="single"/>
          <w:rtl w:val="0"/>
        </w:rPr>
        <w:t xml:space="preserve">edit </w:t>
      </w:r>
      <w:r w:rsidDel="00000000" w:rsidR="00000000" w:rsidRPr="00000000">
        <w:rPr>
          <w:sz w:val="24"/>
          <w:szCs w:val="24"/>
          <w:rtl w:val="0"/>
        </w:rPr>
        <w:t xml:space="preserve">access to update</w:t>
      </w:r>
    </w:p>
    <w:p w:rsidR="00000000" w:rsidDel="00000000" w:rsidP="00000000" w:rsidRDefault="00000000" w:rsidRPr="00000000" w14:paraId="00000010">
      <w:pPr>
        <w:numPr>
          <w:ilvl w:val="0"/>
          <w:numId w:val="2"/>
        </w:numPr>
        <w:spacing w:after="240" w:before="240" w:lineRule="auto"/>
        <w:ind w:left="720" w:hanging="360"/>
        <w:rPr>
          <w:sz w:val="24"/>
          <w:szCs w:val="24"/>
          <w:u w:val="none"/>
        </w:rPr>
      </w:pPr>
      <w:commentRangeStart w:id="0"/>
      <w:commentRangeStart w:id="1"/>
      <w:commentRangeStart w:id="2"/>
      <w:commentRangeStart w:id="3"/>
      <w:r w:rsidDel="00000000" w:rsidR="00000000" w:rsidRPr="00000000">
        <w:rPr>
          <w:sz w:val="24"/>
          <w:szCs w:val="24"/>
          <w:rtl w:val="0"/>
        </w:rPr>
        <w:t xml:space="preserve">Online Merchant Site URL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12">
      <w:pPr>
        <w:spacing w:after="240" w:before="240" w:lineRule="auto"/>
        <w:rPr>
          <w:b w:val="1"/>
          <w:sz w:val="24"/>
          <w:szCs w:val="24"/>
        </w:rPr>
      </w:pPr>
      <w:r w:rsidDel="00000000" w:rsidR="00000000" w:rsidRPr="00000000">
        <w:rPr>
          <w:b w:val="1"/>
          <w:sz w:val="24"/>
          <w:szCs w:val="24"/>
          <w:rtl w:val="0"/>
        </w:rPr>
        <w:t xml:space="preserve">Merchant Information</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Allow users with </w:t>
      </w:r>
      <w:r w:rsidDel="00000000" w:rsidR="00000000" w:rsidRPr="00000000">
        <w:rPr>
          <w:sz w:val="24"/>
          <w:szCs w:val="24"/>
          <w:u w:val="single"/>
          <w:rtl w:val="0"/>
        </w:rPr>
        <w:t xml:space="preserve">edit </w:t>
      </w:r>
      <w:r w:rsidDel="00000000" w:rsidR="00000000" w:rsidRPr="00000000">
        <w:rPr>
          <w:sz w:val="24"/>
          <w:szCs w:val="24"/>
          <w:rtl w:val="0"/>
        </w:rPr>
        <w:t xml:space="preserve">access to update</w:t>
      </w:r>
    </w:p>
    <w:p w:rsidR="00000000" w:rsidDel="00000000" w:rsidP="00000000" w:rsidRDefault="00000000" w:rsidRPr="00000000" w14:paraId="0000001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WeChat Pay sub ID</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Alipay Sub Merchant ID</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POS System</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Gateway Middleware</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Card Acquirer</w:t>
      </w:r>
    </w:p>
    <w:p w:rsidR="00000000" w:rsidDel="00000000" w:rsidP="00000000" w:rsidRDefault="00000000" w:rsidRPr="00000000" w14:paraId="0000001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Payment Terminal</w:t>
      </w:r>
    </w:p>
    <w:p w:rsidR="00000000" w:rsidDel="00000000" w:rsidP="00000000" w:rsidRDefault="00000000" w:rsidRPr="00000000" w14:paraId="0000001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Ecomm Platform</w:t>
      </w:r>
    </w:p>
    <w:p w:rsidR="00000000" w:rsidDel="00000000" w:rsidP="00000000" w:rsidRDefault="00000000" w:rsidRPr="00000000" w14:paraId="0000001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Ecomm Gateway Middleware</w:t>
      </w:r>
    </w:p>
    <w:p w:rsidR="00000000" w:rsidDel="00000000" w:rsidP="00000000" w:rsidRDefault="00000000" w:rsidRPr="00000000" w14:paraId="0000001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Merchant Static Dynamic IP</w:t>
      </w:r>
    </w:p>
    <w:p w:rsidR="00000000" w:rsidDel="00000000" w:rsidP="00000000" w:rsidRDefault="00000000" w:rsidRPr="00000000" w14:paraId="0000001D">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Converge Merchant ID</w:t>
      </w:r>
    </w:p>
    <w:p w:rsidR="00000000" w:rsidDel="00000000" w:rsidP="00000000" w:rsidRDefault="00000000" w:rsidRPr="00000000" w14:paraId="0000001E">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Converge User ID</w:t>
      </w:r>
    </w:p>
    <w:p w:rsidR="00000000" w:rsidDel="00000000" w:rsidP="00000000" w:rsidRDefault="00000000" w:rsidRPr="00000000" w14:paraId="0000001F">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Converge PIN</w:t>
      </w:r>
    </w:p>
    <w:p w:rsidR="00000000" w:rsidDel="00000000" w:rsidP="00000000" w:rsidRDefault="00000000" w:rsidRPr="00000000" w14:paraId="00000020">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Product name</w:t>
      </w:r>
    </w:p>
    <w:p w:rsidR="00000000" w:rsidDel="00000000" w:rsidP="00000000" w:rsidRDefault="00000000" w:rsidRPr="00000000" w14:paraId="0000002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0" w:firstLine="0"/>
        <w:rPr>
          <w:sz w:val="24"/>
          <w:szCs w:val="24"/>
        </w:rPr>
      </w:pPr>
      <w:r w:rsidDel="00000000" w:rsidR="00000000" w:rsidRPr="00000000">
        <w:rPr>
          <w:sz w:val="24"/>
          <w:szCs w:val="24"/>
          <w:rtl w:val="0"/>
        </w:rPr>
        <w:t xml:space="preserve">Add a static text between “Alipay Merchant Category Code (MCC)” and “Product Name”</w:t>
      </w:r>
    </w:p>
    <w:p w:rsidR="00000000" w:rsidDel="00000000" w:rsidP="00000000" w:rsidRDefault="00000000" w:rsidRPr="00000000" w14:paraId="00000023">
      <w:pPr>
        <w:spacing w:after="240" w:before="240" w:lineRule="auto"/>
        <w:ind w:left="0" w:firstLine="0"/>
        <w:rPr>
          <w:sz w:val="24"/>
          <w:szCs w:val="24"/>
        </w:rPr>
      </w:pPr>
      <w:r w:rsidDel="00000000" w:rsidR="00000000" w:rsidRPr="00000000">
        <w:rPr>
          <w:sz w:val="24"/>
          <w:szCs w:val="24"/>
          <w:rtl w:val="0"/>
        </w:rPr>
        <w:t xml:space="preserve">Above fields can only be edited by users with Audit access.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ce Zhao" w:id="0" w:date="2021-09-15T22:00:33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@tracy.wu@citcon-inc.com You mentioned this is needed to add new PBL services. I just did a quick check and the only place we actually use the online merchant site URL is in the Alipay registration step. Is this for record-keeping purposes only?</w:t>
      </w:r>
    </w:p>
  </w:comment>
  <w:comment w:author="Tracy Wu" w:id="1" w:date="2021-09-15T22:13:02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remember there is a logic built regarding "Online Merchant Site URL". If "Online Merchant Site URL" is empty, online service (PBL for now) won't be able to generated. Can you confirm?</w:t>
      </w:r>
    </w:p>
  </w:comment>
  <w:comment w:author="Alice Zhao" w:id="2" w:date="2021-09-15T22:24:1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the error message written there indicates that the check is because the Online Merchant Site URL is needed to do the Alipay registration. If you aren't relying on Alipay registration through the ops tool anymore, maybe it makes more sense to remove the check</w:t>
      </w:r>
    </w:p>
  </w:comment>
  <w:comment w:author="Tracy Wu" w:id="3" w:date="2021-09-15T22:41:49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that is the 2nd approach I mentioned. But it may require to remove the Alipay API connection entirely. Otherwise, I would assume there will be another error from Alipay side? That is why I chose a simpler way. But if removing the check would be easier and no need to touch Alipay API, then yes, it would make more sense.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