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AF5" w:rsidRPr="009D11DD" w:rsidRDefault="00772AF5" w:rsidP="00772AF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 xml:space="preserve">Можно ли считать политику Александра Невского единственно возможной в тех условиях? </w:t>
      </w:r>
    </w:p>
    <w:p w:rsidR="00772AF5" w:rsidRPr="009D11DD" w:rsidRDefault="00772AF5" w:rsidP="00772AF5">
      <w:p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Она не была единственно возможной, но она была наиболее реалистичной и прагматичной стратегией выживания Руси в конкретных геополитических условиях.</w:t>
      </w:r>
    </w:p>
    <w:p w:rsidR="00772AF5" w:rsidRPr="009D11DD" w:rsidRDefault="00772AF5" w:rsidP="00772AF5">
      <w:p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Реалистичная оценка сил в военных делах. Сохранение веры, самостоятельности и культурной идентичности. Выплата дани дала экономическую передышку.</w:t>
      </w:r>
    </w:p>
    <w:p w:rsidR="00772AF5" w:rsidRPr="009D11DD" w:rsidRDefault="00772AF5" w:rsidP="00772AF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 xml:space="preserve">И актуальна ли его стратегия — твёрдость на Западе и осторожность на Востоке — сегодня? </w:t>
      </w:r>
    </w:p>
    <w:p w:rsidR="00C10F62" w:rsidRPr="009D11DD" w:rsidRDefault="00C10F62" w:rsidP="00C10F62">
      <w:p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Фундаментальный принцип – геополитический прагматизм и выбор «наименьшего зла» в зависимости от баланса сил – остается крайне актуальным для внешней политики России.</w:t>
      </w:r>
    </w:p>
    <w:p w:rsidR="00C10F62" w:rsidRPr="009D11DD" w:rsidRDefault="00C10F62" w:rsidP="00C10F62">
      <w:p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Необходимо оценивать реальную угрозу и сосредотачивать ресурсы там, где она критична.</w:t>
      </w:r>
    </w:p>
    <w:p w:rsidR="00C10F62" w:rsidRPr="009D11DD" w:rsidRDefault="00C10F62" w:rsidP="00C10F62">
      <w:p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Консолидация внутренних сил для обеспечения внутренней стабильности, экономической устойчивости и технологического суверенитета.</w:t>
      </w:r>
    </w:p>
    <w:p w:rsidR="00C10F62" w:rsidRPr="009D11DD" w:rsidRDefault="00C10F62" w:rsidP="00C10F62">
      <w:p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 xml:space="preserve">Сохранение культурной самобытности как </w:t>
      </w:r>
      <w:proofErr w:type="spellStart"/>
      <w:r w:rsidRPr="009D11DD">
        <w:rPr>
          <w:rFonts w:ascii="Times New Roman" w:hAnsi="Times New Roman" w:cs="Times New Roman"/>
          <w:sz w:val="28"/>
          <w:szCs w:val="28"/>
        </w:rPr>
        <w:t>мультинационального</w:t>
      </w:r>
      <w:proofErr w:type="spellEnd"/>
      <w:r w:rsidRPr="009D11DD">
        <w:rPr>
          <w:rFonts w:ascii="Times New Roman" w:hAnsi="Times New Roman" w:cs="Times New Roman"/>
          <w:sz w:val="28"/>
          <w:szCs w:val="28"/>
        </w:rPr>
        <w:t xml:space="preserve"> государства.</w:t>
      </w:r>
    </w:p>
    <w:p w:rsidR="00A46582" w:rsidRPr="009D11DD" w:rsidRDefault="00772AF5" w:rsidP="00772AF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 xml:space="preserve">Обратите внимание на дискуссионность некоторых вопросов при </w:t>
      </w:r>
      <w:proofErr w:type="spellStart"/>
      <w:r w:rsidRPr="009D11DD">
        <w:rPr>
          <w:rFonts w:ascii="Times New Roman" w:hAnsi="Times New Roman" w:cs="Times New Roman"/>
          <w:sz w:val="28"/>
          <w:szCs w:val="28"/>
        </w:rPr>
        <w:t>вылнении</w:t>
      </w:r>
      <w:proofErr w:type="spellEnd"/>
      <w:r w:rsidRPr="009D11DD">
        <w:rPr>
          <w:rFonts w:ascii="Times New Roman" w:hAnsi="Times New Roman" w:cs="Times New Roman"/>
          <w:sz w:val="28"/>
          <w:szCs w:val="28"/>
        </w:rPr>
        <w:t xml:space="preserve"> задания, в частности на гипотезу Л. Н. Гумилёва о побратимстве с </w:t>
      </w:r>
      <w:proofErr w:type="spellStart"/>
      <w:r w:rsidRPr="009D11DD">
        <w:rPr>
          <w:rFonts w:ascii="Times New Roman" w:hAnsi="Times New Roman" w:cs="Times New Roman"/>
          <w:sz w:val="28"/>
          <w:szCs w:val="28"/>
        </w:rPr>
        <w:t>Сартаком</w:t>
      </w:r>
      <w:proofErr w:type="spellEnd"/>
      <w:r w:rsidRPr="009D11DD">
        <w:rPr>
          <w:rFonts w:ascii="Times New Roman" w:hAnsi="Times New Roman" w:cs="Times New Roman"/>
          <w:sz w:val="28"/>
          <w:szCs w:val="28"/>
        </w:rPr>
        <w:t>. Рекомендуется самостоятельно ознакомиться с аргументами сторонников и противников этой версии, используя дополнительную литературу.</w:t>
      </w:r>
    </w:p>
    <w:p w:rsidR="00C10F62" w:rsidRPr="009D11DD" w:rsidRDefault="00C10F62" w:rsidP="00C10F62">
      <w:p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Сторонники:</w:t>
      </w:r>
    </w:p>
    <w:p w:rsidR="00C10F62" w:rsidRPr="009D11DD" w:rsidRDefault="00C10F62" w:rsidP="00C10F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Необычно близкие отношения с Ордой: лично ездил в столицу Орды; получил ярлык на великое княжение Владимирское.</w:t>
      </w:r>
    </w:p>
    <w:p w:rsidR="00C10F62" w:rsidRPr="009D11DD" w:rsidRDefault="00C10F62" w:rsidP="00C10F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Защита православия от католического Запада: Запад мог привести к потере своей веры и культуры, в отличие от мусульманского/языческого мира, который не навязывал своих порядков.</w:t>
      </w:r>
    </w:p>
    <w:p w:rsidR="00C10F62" w:rsidRPr="009D11DD" w:rsidRDefault="00C10F62" w:rsidP="00C10F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 xml:space="preserve">Подавление внутренних врагов с помощью Орды: привлекались </w:t>
      </w:r>
      <w:proofErr w:type="spellStart"/>
      <w:r w:rsidRPr="009D11DD">
        <w:rPr>
          <w:rFonts w:ascii="Times New Roman" w:hAnsi="Times New Roman" w:cs="Times New Roman"/>
          <w:sz w:val="28"/>
          <w:szCs w:val="28"/>
        </w:rPr>
        <w:t>орыднские</w:t>
      </w:r>
      <w:proofErr w:type="spellEnd"/>
      <w:r w:rsidRPr="009D11DD">
        <w:rPr>
          <w:rFonts w:ascii="Times New Roman" w:hAnsi="Times New Roman" w:cs="Times New Roman"/>
          <w:sz w:val="28"/>
          <w:szCs w:val="28"/>
        </w:rPr>
        <w:t xml:space="preserve"> отряды для подавления восстаний в русских городах, где </w:t>
      </w:r>
      <w:r w:rsidRPr="009D11DD">
        <w:rPr>
          <w:rFonts w:ascii="Times New Roman" w:hAnsi="Times New Roman" w:cs="Times New Roman"/>
          <w:sz w:val="28"/>
          <w:szCs w:val="28"/>
        </w:rPr>
        <w:lastRenderedPageBreak/>
        <w:t>бояре были склонны к сотрудничеству с Западом или междоусобным войнам.</w:t>
      </w:r>
    </w:p>
    <w:p w:rsidR="00C10F62" w:rsidRPr="009D11DD" w:rsidRDefault="0086193D" w:rsidP="00C10F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 xml:space="preserve">Этногенетический подход: Русь и Орда стали частью одного </w:t>
      </w:r>
      <w:proofErr w:type="spellStart"/>
      <w:r w:rsidRPr="009D11DD">
        <w:rPr>
          <w:rFonts w:ascii="Times New Roman" w:hAnsi="Times New Roman" w:cs="Times New Roman"/>
          <w:sz w:val="28"/>
          <w:szCs w:val="28"/>
        </w:rPr>
        <w:t>суперэтноса</w:t>
      </w:r>
      <w:proofErr w:type="spellEnd"/>
      <w:r w:rsidRPr="009D11DD">
        <w:rPr>
          <w:rFonts w:ascii="Times New Roman" w:hAnsi="Times New Roman" w:cs="Times New Roman"/>
          <w:sz w:val="28"/>
          <w:szCs w:val="28"/>
        </w:rPr>
        <w:t xml:space="preserve"> – «Русской </w:t>
      </w:r>
      <w:proofErr w:type="spellStart"/>
      <w:r w:rsidRPr="009D11DD">
        <w:rPr>
          <w:rFonts w:ascii="Times New Roman" w:hAnsi="Times New Roman" w:cs="Times New Roman"/>
          <w:sz w:val="28"/>
          <w:szCs w:val="28"/>
        </w:rPr>
        <w:t>этнонации</w:t>
      </w:r>
      <w:proofErr w:type="spellEnd"/>
      <w:r w:rsidRPr="009D11DD">
        <w:rPr>
          <w:rFonts w:ascii="Times New Roman" w:hAnsi="Times New Roman" w:cs="Times New Roman"/>
          <w:sz w:val="28"/>
          <w:szCs w:val="28"/>
        </w:rPr>
        <w:t>», где разные элементы дополняли друг друга.</w:t>
      </w:r>
    </w:p>
    <w:p w:rsidR="0086193D" w:rsidRPr="009D11DD" w:rsidRDefault="0086193D" w:rsidP="0086193D">
      <w:p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Противники:</w:t>
      </w:r>
    </w:p>
    <w:p w:rsidR="0086193D" w:rsidRPr="009D11DD" w:rsidRDefault="00462CB1" w:rsidP="0086193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Дань и политическое подчинение: Русь была завоевана и находилась в состоянии полной политической зависимости от Орды.</w:t>
      </w:r>
    </w:p>
    <w:p w:rsidR="00462CB1" w:rsidRPr="009D11DD" w:rsidRDefault="00462CB1" w:rsidP="0086193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 xml:space="preserve">Жестокость ордынского ига: карательные походы Орды за малейшей неповиновение, </w:t>
      </w:r>
      <w:proofErr w:type="gramStart"/>
      <w:r w:rsidRPr="009D11DD">
        <w:rPr>
          <w:rFonts w:ascii="Times New Roman" w:hAnsi="Times New Roman" w:cs="Times New Roman"/>
          <w:sz w:val="28"/>
          <w:szCs w:val="28"/>
        </w:rPr>
        <w:t>Невский</w:t>
      </w:r>
      <w:proofErr w:type="gramEnd"/>
      <w:r w:rsidRPr="009D11DD">
        <w:rPr>
          <w:rFonts w:ascii="Times New Roman" w:hAnsi="Times New Roman" w:cs="Times New Roman"/>
          <w:sz w:val="28"/>
          <w:szCs w:val="28"/>
        </w:rPr>
        <w:t xml:space="preserve"> выбрал порабощение вместо нового разорения.</w:t>
      </w:r>
    </w:p>
    <w:p w:rsidR="00462CB1" w:rsidRPr="009D11DD" w:rsidRDefault="00462CB1" w:rsidP="0086193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Игнорирование альтернатив: другие русские княжества пытались балансировать между Западом и Ордой, но это не всегда приводило к успеху.</w:t>
      </w:r>
    </w:p>
    <w:p w:rsidR="00462CB1" w:rsidRPr="009D11DD" w:rsidRDefault="00462CB1" w:rsidP="0086193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 xml:space="preserve">Несостоятельность этногенеза: отрицается антропологами, хотя вся теория </w:t>
      </w:r>
      <w:proofErr w:type="spellStart"/>
      <w:r w:rsidRPr="009D11DD">
        <w:rPr>
          <w:rFonts w:ascii="Times New Roman" w:hAnsi="Times New Roman" w:cs="Times New Roman"/>
          <w:sz w:val="28"/>
          <w:szCs w:val="28"/>
        </w:rPr>
        <w:t>Гумлёва</w:t>
      </w:r>
      <w:proofErr w:type="spellEnd"/>
      <w:r w:rsidRPr="009D11DD">
        <w:rPr>
          <w:rFonts w:ascii="Times New Roman" w:hAnsi="Times New Roman" w:cs="Times New Roman"/>
          <w:sz w:val="28"/>
          <w:szCs w:val="28"/>
        </w:rPr>
        <w:t xml:space="preserve"> выстроена на этом фундаменте.</w:t>
      </w:r>
    </w:p>
    <w:p w:rsidR="00462CB1" w:rsidRPr="009D11DD" w:rsidRDefault="00462CB1" w:rsidP="0086193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sz w:val="28"/>
          <w:szCs w:val="28"/>
        </w:rPr>
        <w:t>Религия: «</w:t>
      </w:r>
      <w:proofErr w:type="spellStart"/>
      <w:r w:rsidRPr="009D11DD">
        <w:rPr>
          <w:rFonts w:ascii="Times New Roman" w:hAnsi="Times New Roman" w:cs="Times New Roman"/>
          <w:sz w:val="28"/>
          <w:szCs w:val="28"/>
        </w:rPr>
        <w:t>побратимость</w:t>
      </w:r>
      <w:proofErr w:type="spellEnd"/>
      <w:r w:rsidRPr="009D11DD">
        <w:rPr>
          <w:rFonts w:ascii="Times New Roman" w:hAnsi="Times New Roman" w:cs="Times New Roman"/>
          <w:sz w:val="28"/>
          <w:szCs w:val="28"/>
        </w:rPr>
        <w:t>» с неверующими ханами противоречила православному мировоззрению того времени.</w:t>
      </w:r>
    </w:p>
    <w:p w:rsidR="009D11DD" w:rsidRDefault="009D11DD" w:rsidP="009D11DD">
      <w:pPr>
        <w:rPr>
          <w:rFonts w:ascii="Times New Roman" w:hAnsi="Times New Roman" w:cs="Times New Roman"/>
          <w:sz w:val="28"/>
          <w:szCs w:val="28"/>
        </w:rPr>
      </w:pPr>
      <w:r w:rsidRPr="009D11DD">
        <w:rPr>
          <w:rFonts w:ascii="Times New Roman" w:hAnsi="Times New Roman" w:cs="Times New Roman"/>
          <w:b/>
          <w:sz w:val="28"/>
          <w:szCs w:val="28"/>
        </w:rPr>
        <w:t>Задание 1</w:t>
      </w:r>
      <w:proofErr w:type="gramStart"/>
      <w:r w:rsidRPr="009D11DD">
        <w:rPr>
          <w:rFonts w:ascii="Times New Roman" w:hAnsi="Times New Roman" w:cs="Times New Roman"/>
          <w:b/>
          <w:sz w:val="28"/>
          <w:szCs w:val="28"/>
        </w:rPr>
        <w:t xml:space="preserve"> С</w:t>
      </w:r>
      <w:proofErr w:type="gramEnd"/>
      <w:r w:rsidRPr="009D11DD">
        <w:rPr>
          <w:rFonts w:ascii="Times New Roman" w:hAnsi="Times New Roman" w:cs="Times New Roman"/>
          <w:b/>
          <w:sz w:val="28"/>
          <w:szCs w:val="28"/>
        </w:rPr>
        <w:t>оотнесите даты и события, используя текст лекции. Заполните таблицу.</w:t>
      </w:r>
      <w:r w:rsidRPr="009D11D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4"/>
        <w:tblW w:w="0" w:type="auto"/>
        <w:tblLook w:val="04A0"/>
      </w:tblPr>
      <w:tblGrid>
        <w:gridCol w:w="2518"/>
        <w:gridCol w:w="6580"/>
      </w:tblGrid>
      <w:tr w:rsidR="009D11DD" w:rsidTr="0054321B">
        <w:trPr>
          <w:trHeight w:val="313"/>
        </w:trPr>
        <w:tc>
          <w:tcPr>
            <w:tcW w:w="2518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6580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</w:p>
        </w:tc>
      </w:tr>
      <w:tr w:rsidR="009D11DD" w:rsidTr="0054321B">
        <w:trPr>
          <w:trHeight w:val="330"/>
        </w:trPr>
        <w:tc>
          <w:tcPr>
            <w:tcW w:w="2518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1240 г.</w:t>
            </w:r>
          </w:p>
        </w:tc>
        <w:tc>
          <w:tcPr>
            <w:tcW w:w="6580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Невская битва</w:t>
            </w:r>
          </w:p>
        </w:tc>
      </w:tr>
      <w:tr w:rsidR="009D11DD" w:rsidTr="0054321B">
        <w:trPr>
          <w:trHeight w:val="313"/>
        </w:trPr>
        <w:tc>
          <w:tcPr>
            <w:tcW w:w="2518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5 апреля 1242 г.</w:t>
            </w:r>
          </w:p>
        </w:tc>
        <w:tc>
          <w:tcPr>
            <w:tcW w:w="6580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Ледовое побоище</w:t>
            </w:r>
          </w:p>
        </w:tc>
      </w:tr>
      <w:tr w:rsidR="009D11DD" w:rsidTr="0054321B">
        <w:trPr>
          <w:trHeight w:val="330"/>
        </w:trPr>
        <w:tc>
          <w:tcPr>
            <w:tcW w:w="2518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1252–1263 гг.</w:t>
            </w:r>
          </w:p>
        </w:tc>
        <w:tc>
          <w:tcPr>
            <w:tcW w:w="6580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получил ярлык на Великое Владимирское княжение</w:t>
            </w:r>
          </w:p>
        </w:tc>
      </w:tr>
      <w:tr w:rsidR="009D11DD" w:rsidTr="0054321B">
        <w:trPr>
          <w:trHeight w:val="330"/>
        </w:trPr>
        <w:tc>
          <w:tcPr>
            <w:tcW w:w="2518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14 ноября 1263 г.</w:t>
            </w:r>
          </w:p>
        </w:tc>
        <w:tc>
          <w:tcPr>
            <w:tcW w:w="6580" w:type="dxa"/>
          </w:tcPr>
          <w:p w:rsidR="009D11DD" w:rsidRDefault="0054321B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Умер</w:t>
            </w:r>
          </w:p>
        </w:tc>
      </w:tr>
      <w:tr w:rsidR="009D11DD" w:rsidTr="0054321B">
        <w:trPr>
          <w:trHeight w:val="313"/>
        </w:trPr>
        <w:tc>
          <w:tcPr>
            <w:tcW w:w="2518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1547 г.</w:t>
            </w:r>
          </w:p>
        </w:tc>
        <w:tc>
          <w:tcPr>
            <w:tcW w:w="6580" w:type="dxa"/>
          </w:tcPr>
          <w:p w:rsidR="009D11DD" w:rsidRDefault="0054321B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Канонизация</w:t>
            </w:r>
          </w:p>
        </w:tc>
      </w:tr>
      <w:tr w:rsidR="009D11DD" w:rsidTr="0054321B">
        <w:trPr>
          <w:trHeight w:val="330"/>
        </w:trPr>
        <w:tc>
          <w:tcPr>
            <w:tcW w:w="2518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1723 г.</w:t>
            </w:r>
          </w:p>
        </w:tc>
        <w:tc>
          <w:tcPr>
            <w:tcW w:w="6580" w:type="dxa"/>
          </w:tcPr>
          <w:p w:rsidR="0054321B" w:rsidRPr="0054321B" w:rsidRDefault="0054321B" w:rsidP="00543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321B">
              <w:rPr>
                <w:rFonts w:ascii="Times New Roman" w:hAnsi="Times New Roman" w:cs="Times New Roman"/>
                <w:sz w:val="28"/>
                <w:szCs w:val="28"/>
              </w:rPr>
              <w:t xml:space="preserve">указу Петра I нетленные мощи Александра Невского были </w:t>
            </w:r>
          </w:p>
          <w:p w:rsidR="009D11DD" w:rsidRDefault="0054321B" w:rsidP="00543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4321B">
              <w:rPr>
                <w:rFonts w:ascii="Times New Roman" w:hAnsi="Times New Roman" w:cs="Times New Roman"/>
                <w:sz w:val="28"/>
                <w:szCs w:val="28"/>
              </w:rPr>
              <w:t>перевезены</w:t>
            </w:r>
            <w:proofErr w:type="gramEnd"/>
            <w:r w:rsidRPr="0054321B">
              <w:rPr>
                <w:rFonts w:ascii="Times New Roman" w:hAnsi="Times New Roman" w:cs="Times New Roman"/>
                <w:sz w:val="28"/>
                <w:szCs w:val="28"/>
              </w:rPr>
              <w:t xml:space="preserve"> в Санкт-Петербург и установлены в Александро-Невской лавре</w:t>
            </w:r>
          </w:p>
        </w:tc>
      </w:tr>
      <w:tr w:rsidR="009D11DD" w:rsidTr="0054321B">
        <w:trPr>
          <w:trHeight w:val="330"/>
        </w:trPr>
        <w:tc>
          <w:tcPr>
            <w:tcW w:w="2518" w:type="dxa"/>
          </w:tcPr>
          <w:p w:rsid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1725 г.</w:t>
            </w:r>
          </w:p>
        </w:tc>
        <w:tc>
          <w:tcPr>
            <w:tcW w:w="6580" w:type="dxa"/>
          </w:tcPr>
          <w:p w:rsidR="009D11DD" w:rsidRDefault="0054321B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321B">
              <w:rPr>
                <w:rFonts w:ascii="Times New Roman" w:hAnsi="Times New Roman" w:cs="Times New Roman"/>
                <w:sz w:val="28"/>
                <w:szCs w:val="28"/>
              </w:rPr>
              <w:t>Екатерина I учредила орден святого благоверного князя Александра Невского</w:t>
            </w:r>
          </w:p>
        </w:tc>
      </w:tr>
      <w:tr w:rsidR="009D11DD" w:rsidTr="0054321B">
        <w:trPr>
          <w:trHeight w:val="330"/>
        </w:trPr>
        <w:tc>
          <w:tcPr>
            <w:tcW w:w="2518" w:type="dxa"/>
          </w:tcPr>
          <w:p w:rsidR="009D11DD" w:rsidRPr="009D11DD" w:rsidRDefault="009D11DD" w:rsidP="009D1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1DD">
              <w:rPr>
                <w:rFonts w:ascii="Times New Roman" w:hAnsi="Times New Roman" w:cs="Times New Roman"/>
                <w:sz w:val="28"/>
                <w:szCs w:val="28"/>
              </w:rPr>
              <w:t>2008 г.</w:t>
            </w:r>
          </w:p>
        </w:tc>
        <w:tc>
          <w:tcPr>
            <w:tcW w:w="6580" w:type="dxa"/>
          </w:tcPr>
          <w:p w:rsidR="0054321B" w:rsidRPr="0054321B" w:rsidRDefault="0054321B" w:rsidP="00543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321B">
              <w:rPr>
                <w:rFonts w:ascii="Times New Roman" w:hAnsi="Times New Roman" w:cs="Times New Roman"/>
                <w:sz w:val="28"/>
                <w:szCs w:val="28"/>
              </w:rPr>
              <w:t xml:space="preserve">Александр </w:t>
            </w:r>
          </w:p>
          <w:p w:rsidR="009D11DD" w:rsidRDefault="0054321B" w:rsidP="005432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321B">
              <w:rPr>
                <w:rFonts w:ascii="Times New Roman" w:hAnsi="Times New Roman" w:cs="Times New Roman"/>
                <w:sz w:val="28"/>
                <w:szCs w:val="28"/>
              </w:rPr>
              <w:t>Невский стал победителем проекта «Имя России»</w:t>
            </w:r>
          </w:p>
        </w:tc>
      </w:tr>
    </w:tbl>
    <w:p w:rsidR="009D11DD" w:rsidRDefault="009D11DD" w:rsidP="009D11DD">
      <w:pPr>
        <w:rPr>
          <w:rFonts w:ascii="Times New Roman" w:hAnsi="Times New Roman" w:cs="Times New Roman"/>
          <w:sz w:val="28"/>
          <w:szCs w:val="28"/>
        </w:rPr>
      </w:pPr>
    </w:p>
    <w:p w:rsidR="0054321B" w:rsidRDefault="0054321B" w:rsidP="009D11DD">
      <w:pPr>
        <w:rPr>
          <w:rFonts w:ascii="Times New Roman" w:hAnsi="Times New Roman" w:cs="Times New Roman"/>
          <w:sz w:val="28"/>
          <w:szCs w:val="28"/>
        </w:rPr>
      </w:pPr>
    </w:p>
    <w:p w:rsidR="0054321B" w:rsidRDefault="0054321B" w:rsidP="0054321B">
      <w:pPr>
        <w:rPr>
          <w:rFonts w:ascii="Times New Roman" w:hAnsi="Times New Roman" w:cs="Times New Roman"/>
          <w:b/>
          <w:sz w:val="28"/>
          <w:szCs w:val="28"/>
        </w:rPr>
      </w:pPr>
      <w:r w:rsidRPr="0054321B">
        <w:rPr>
          <w:rFonts w:ascii="Times New Roman" w:hAnsi="Times New Roman" w:cs="Times New Roman"/>
          <w:b/>
          <w:sz w:val="28"/>
          <w:szCs w:val="28"/>
        </w:rPr>
        <w:lastRenderedPageBreak/>
        <w:t>Задание 2</w:t>
      </w:r>
      <w:proofErr w:type="gramStart"/>
      <w:r w:rsidRPr="0054321B">
        <w:rPr>
          <w:rFonts w:ascii="Times New Roman" w:hAnsi="Times New Roman" w:cs="Times New Roman"/>
          <w:b/>
          <w:sz w:val="28"/>
          <w:szCs w:val="28"/>
        </w:rPr>
        <w:t xml:space="preserve"> О</w:t>
      </w:r>
      <w:proofErr w:type="gramEnd"/>
      <w:r w:rsidRPr="0054321B">
        <w:rPr>
          <w:rFonts w:ascii="Times New Roman" w:hAnsi="Times New Roman" w:cs="Times New Roman"/>
          <w:b/>
          <w:sz w:val="28"/>
          <w:szCs w:val="28"/>
        </w:rPr>
        <w:t>пираясь на текст лекции, ответьте на вопрос развёрнуто (объё</w:t>
      </w:r>
      <w:r>
        <w:rPr>
          <w:rFonts w:ascii="Times New Roman" w:hAnsi="Times New Roman" w:cs="Times New Roman"/>
          <w:b/>
          <w:sz w:val="28"/>
          <w:szCs w:val="28"/>
        </w:rPr>
        <w:t xml:space="preserve">м — 1–1,5 </w:t>
      </w:r>
      <w:r w:rsidRPr="0054321B">
        <w:rPr>
          <w:rFonts w:ascii="Times New Roman" w:hAnsi="Times New Roman" w:cs="Times New Roman"/>
          <w:b/>
          <w:sz w:val="28"/>
          <w:szCs w:val="28"/>
        </w:rPr>
        <w:t>страницы).</w:t>
      </w:r>
    </w:p>
    <w:p w:rsidR="00523A8C" w:rsidRDefault="0054321B" w:rsidP="00543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Политика Александра Невского представляет собой один из самых сложных и противоречивых феноменов в истории средневековой Руси. Её суть заключается в радикальном различии подходов к двум основным внешним угрозам: с одной стороны – решительный и жесткий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военны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отпор западным агрессорам,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дургой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вынужденная осторожность, дипломатическая гибкость и подчинение восточному завоевателю. Эта двойственность часто вызывала критику со стороны современников и последующих поколений, однако, она проди</w:t>
      </w:r>
      <w:r w:rsidR="00523A8C">
        <w:rPr>
          <w:rFonts w:ascii="Times New Roman" w:hAnsi="Times New Roman" w:cs="Times New Roman"/>
          <w:sz w:val="28"/>
          <w:szCs w:val="28"/>
        </w:rPr>
        <w:t>ктована суровой необхо</w:t>
      </w:r>
      <w:r>
        <w:rPr>
          <w:rFonts w:ascii="Times New Roman" w:hAnsi="Times New Roman" w:cs="Times New Roman"/>
          <w:sz w:val="28"/>
          <w:szCs w:val="28"/>
        </w:rPr>
        <w:t>д</w:t>
      </w:r>
      <w:r w:rsidR="00523A8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мость</w:t>
      </w:r>
      <w:r w:rsidR="00523A8C">
        <w:rPr>
          <w:rFonts w:ascii="Times New Roman" w:hAnsi="Times New Roman" w:cs="Times New Roman"/>
          <w:sz w:val="28"/>
          <w:szCs w:val="28"/>
        </w:rPr>
        <w:t>ю геополи</w:t>
      </w:r>
      <w:r>
        <w:rPr>
          <w:rFonts w:ascii="Times New Roman" w:hAnsi="Times New Roman" w:cs="Times New Roman"/>
          <w:sz w:val="28"/>
          <w:szCs w:val="28"/>
        </w:rPr>
        <w:t>т</w:t>
      </w:r>
      <w:r w:rsidR="00523A8C">
        <w:rPr>
          <w:rFonts w:ascii="Times New Roman" w:hAnsi="Times New Roman" w:cs="Times New Roman"/>
          <w:sz w:val="28"/>
          <w:szCs w:val="28"/>
        </w:rPr>
        <w:t xml:space="preserve">ической реальностью </w:t>
      </w:r>
      <w:r w:rsidR="00523A8C">
        <w:rPr>
          <w:rFonts w:ascii="Times New Roman" w:hAnsi="Times New Roman" w:cs="Times New Roman"/>
          <w:sz w:val="28"/>
          <w:szCs w:val="28"/>
          <w:lang w:val="en-US"/>
        </w:rPr>
        <w:t>XIII</w:t>
      </w:r>
      <w:r w:rsidR="00523A8C" w:rsidRPr="00523A8C">
        <w:rPr>
          <w:rFonts w:ascii="Times New Roman" w:hAnsi="Times New Roman" w:cs="Times New Roman"/>
          <w:sz w:val="28"/>
          <w:szCs w:val="28"/>
        </w:rPr>
        <w:t xml:space="preserve"> </w:t>
      </w:r>
      <w:r w:rsidR="00523A8C">
        <w:rPr>
          <w:rFonts w:ascii="Times New Roman" w:hAnsi="Times New Roman" w:cs="Times New Roman"/>
          <w:sz w:val="28"/>
          <w:szCs w:val="28"/>
        </w:rPr>
        <w:t>века.</w:t>
      </w:r>
    </w:p>
    <w:p w:rsidR="0054321B" w:rsidRDefault="00523A8C" w:rsidP="00543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Жестокость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Невского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западном направлении проявлялась в его готовности к открытому вооруженному конфликту ради защиты территориальной целостности и религиозной идентичности. Яркими примерами служат Невская битва 1240 года и Ледовое побоище 1242 года. В этих сражениях князь лично возглавлял ополчение, разбив шведских рыцарей и немецких крестоносцев Ливонского ордена. Западные агрессоры представляли не просто военную угрозу, но и экспансию католичества, которое могло привести к ассимиляции русской культуры и утрате православия. Это подтверждается и его категоричным ответом папским легатам, требовавшим подчинения Риму: </w:t>
      </w:r>
      <w:proofErr w:type="gramStart"/>
      <w:r>
        <w:rPr>
          <w:rFonts w:ascii="Times New Roman" w:hAnsi="Times New Roman" w:cs="Times New Roman"/>
          <w:sz w:val="28"/>
          <w:szCs w:val="28"/>
        </w:rPr>
        <w:t>Невский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отказался принимать католичество, поставив духовную независимость выше возможного политического союза с Европой.</w:t>
      </w:r>
      <w:r w:rsidR="0054321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3A8C" w:rsidRDefault="00D872AE" w:rsidP="00543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Ордо</w:t>
      </w:r>
      <w:r w:rsidR="00BB1D8C">
        <w:rPr>
          <w:rFonts w:ascii="Times New Roman" w:hAnsi="Times New Roman" w:cs="Times New Roman"/>
          <w:sz w:val="28"/>
          <w:szCs w:val="28"/>
        </w:rPr>
        <w:t>й же политика князя</w:t>
      </w:r>
      <w:r>
        <w:rPr>
          <w:rFonts w:ascii="Times New Roman" w:hAnsi="Times New Roman" w:cs="Times New Roman"/>
          <w:sz w:val="28"/>
          <w:szCs w:val="28"/>
        </w:rPr>
        <w:t xml:space="preserve"> кардинально отличалась. Вместо военного противостояния он </w:t>
      </w:r>
      <w:r w:rsidR="00BB1D8C">
        <w:rPr>
          <w:rFonts w:ascii="Times New Roman" w:hAnsi="Times New Roman" w:cs="Times New Roman"/>
          <w:sz w:val="28"/>
          <w:szCs w:val="28"/>
        </w:rPr>
        <w:t>избрал путь компромисса и дипло</w:t>
      </w:r>
      <w:r>
        <w:rPr>
          <w:rFonts w:ascii="Times New Roman" w:hAnsi="Times New Roman" w:cs="Times New Roman"/>
          <w:sz w:val="28"/>
          <w:szCs w:val="28"/>
        </w:rPr>
        <w:t xml:space="preserve">матии. Это выражалось в личных поездках в Сарай, столицу Золотой Орды, что было огромным риском для жизни и чести православного князя. Александр Невский согласился на выплату тяжелой дани («ордынский выход») и получение ярлыка на великое княжение Владимирское через ханский двор. Он подавлял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антиордынские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восстания внутри русских земель (например, во Владимире), используя ордынские войска против собственных подданных, что делало его образ в народной памяти не</w:t>
      </w:r>
      <w:r w:rsidR="00BB1D8C">
        <w:rPr>
          <w:rFonts w:ascii="Times New Roman" w:hAnsi="Times New Roman" w:cs="Times New Roman"/>
          <w:sz w:val="28"/>
          <w:szCs w:val="28"/>
        </w:rPr>
        <w:t>однозначным и даже негативным. О</w:t>
      </w:r>
      <w:r>
        <w:rPr>
          <w:rFonts w:ascii="Times New Roman" w:hAnsi="Times New Roman" w:cs="Times New Roman"/>
          <w:sz w:val="28"/>
          <w:szCs w:val="28"/>
        </w:rPr>
        <w:t>днако, эта «осторожность» была не слабостью, а расчетом.</w:t>
      </w:r>
    </w:p>
    <w:p w:rsidR="00BB1D8C" w:rsidRDefault="00742658" w:rsidP="00543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такой двойственной стратегии обусловлен тремя ключевыми факторами. Во-первых, оценка реального соотношения сил. Золотая Орда после завоевания Руси обладала колоссальным военным превосходством; любая попытка открытого сопротивления грозила полным уничтожением русских городов и народа, как это уже случилось с Рязанью и Киевом. Запад </w:t>
      </w:r>
      <w:r>
        <w:rPr>
          <w:rFonts w:ascii="Times New Roman" w:hAnsi="Times New Roman" w:cs="Times New Roman"/>
          <w:sz w:val="28"/>
          <w:szCs w:val="28"/>
        </w:rPr>
        <w:lastRenderedPageBreak/>
        <w:t>же, несмотря на агрессивность рыцарства, не имел ресурсов для долгосрочной оккупации русских земель. Во-вторых, вопрос сохранения веры. Орда, будучи языческой, а затем мусульманской империей, не навязывала свою религию и не требовала изменения духовного строя Руси. Латинская же церковь видела в обращении русских в католичество инструмент политического контроля. В-третьих, необходимос</w:t>
      </w:r>
      <w:r w:rsidR="00453647">
        <w:rPr>
          <w:rFonts w:ascii="Times New Roman" w:hAnsi="Times New Roman" w:cs="Times New Roman"/>
          <w:sz w:val="28"/>
          <w:szCs w:val="28"/>
        </w:rPr>
        <w:t>ть внутренней консолидации. Под</w:t>
      </w:r>
      <w:r>
        <w:rPr>
          <w:rFonts w:ascii="Times New Roman" w:hAnsi="Times New Roman" w:cs="Times New Roman"/>
          <w:sz w:val="28"/>
          <w:szCs w:val="28"/>
        </w:rPr>
        <w:t xml:space="preserve">держка Орды позволяла Невскому </w:t>
      </w:r>
      <w:r w:rsidR="00945BD1">
        <w:rPr>
          <w:rFonts w:ascii="Times New Roman" w:hAnsi="Times New Roman" w:cs="Times New Roman"/>
          <w:sz w:val="28"/>
          <w:szCs w:val="28"/>
        </w:rPr>
        <w:t>нейтрализовать внутренних врагов – удельных князей, стремившихся к самостоятельности или сотрудничеству с Западом, тем самым сохраняя единство страны.</w:t>
      </w:r>
    </w:p>
    <w:p w:rsidR="00453647" w:rsidRPr="0054321B" w:rsidRDefault="00453647" w:rsidP="005432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ли считать такую стратегию оправданной? Безусловно, да. В условиях катастрофы, когда Русь находилась на грани исчезновения как политическое и культурное образование, политика «меньшего зла» стала единственным путем к выживанию. Жестокость на Западе защитила культурный код нации, а осторожность на Востоке сохранила саму возможность существования государства. Хотя эта стратегия требовала огромных человеческих жертв и унижений, именно она позволила Руси пережить тяжелый период ига, сохранить православие и заложить основы для будущего возвышения Москвы. Таким образом, двойственность политики Александра Невского была не противоречием, а высшим проявлением государственного реализма, обеспечившим сохранение русской государственности в критический момент истории.</w:t>
      </w:r>
    </w:p>
    <w:sectPr w:rsidR="00453647" w:rsidRPr="0054321B" w:rsidSect="00A46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F2BC3"/>
    <w:multiLevelType w:val="hybridMultilevel"/>
    <w:tmpl w:val="16006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9C3F5A"/>
    <w:multiLevelType w:val="hybridMultilevel"/>
    <w:tmpl w:val="5396F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9C7AB1"/>
    <w:multiLevelType w:val="hybridMultilevel"/>
    <w:tmpl w:val="3BA44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E81A13"/>
    <w:rsid w:val="00453647"/>
    <w:rsid w:val="00462CB1"/>
    <w:rsid w:val="00523A8C"/>
    <w:rsid w:val="0054321B"/>
    <w:rsid w:val="00742658"/>
    <w:rsid w:val="00772AF5"/>
    <w:rsid w:val="0086193D"/>
    <w:rsid w:val="00945BD1"/>
    <w:rsid w:val="009D11DD"/>
    <w:rsid w:val="00A46582"/>
    <w:rsid w:val="00BB1D8C"/>
    <w:rsid w:val="00C10F62"/>
    <w:rsid w:val="00D872AE"/>
    <w:rsid w:val="00E81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65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2AF5"/>
    <w:pPr>
      <w:ind w:left="720"/>
      <w:contextualSpacing/>
    </w:pPr>
  </w:style>
  <w:style w:type="table" w:styleId="a4">
    <w:name w:val="Table Grid"/>
    <w:basedOn w:val="a1"/>
    <w:uiPriority w:val="59"/>
    <w:rsid w:val="009D11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8</cp:revision>
  <dcterms:created xsi:type="dcterms:W3CDTF">2026-09-24T15:10:00Z</dcterms:created>
  <dcterms:modified xsi:type="dcterms:W3CDTF">2026-09-24T16:09:00Z</dcterms:modified>
</cp:coreProperties>
</file>