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AC5977">
      <w:pPr>
        <w:spacing w:before="440" w:after="880"/>
        <w:jc w:val="center"/>
      </w:pPr>
      <w:r>
        <w:rPr>
          <w:rFonts w:ascii="Times New Roman" w:hAnsi="Times New Roman" w:eastAsia="宋体"/>
          <w:sz w:val="48"/>
        </w:rPr>
        <w:t>2026年全国大学生电子设计竞赛</w:t>
      </w:r>
    </w:p>
    <w:p w14:paraId="6C7B9202">
      <w:pPr>
        <w:spacing w:before="0" w:after="2640"/>
        <w:jc w:val="center"/>
      </w:pPr>
      <w:r>
        <w:rPr>
          <w:rFonts w:ascii="Times New Roman" w:hAnsi="Times New Roman" w:eastAsia="宋体"/>
          <w:b/>
          <w:color w:val="FF0000"/>
          <w:sz w:val="36"/>
        </w:rPr>
        <w:t>车载平衡滚球运动控制系统</w:t>
      </w:r>
      <w:r>
        <w:rPr>
          <w:rFonts w:ascii="Times New Roman" w:hAnsi="Times New Roman" w:eastAsia="宋体"/>
          <w:b/>
          <w:sz w:val="36"/>
        </w:rPr>
        <w:t>（H题）</w:t>
      </w:r>
    </w:p>
    <w:p w14:paraId="2B51E4BD">
      <w:pPr>
        <w:spacing w:after="2500" w:line="240" w:lineRule="auto"/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1856740" cy="1256030"/>
            <wp:effectExtent l="0" t="0" r="2540" b="8890"/>
            <wp:docPr id="1" name="图片 1" descr="contest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ontest_logo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56740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0FE69">
      <w:pPr>
        <w:jc w:val="center"/>
      </w:pPr>
      <w:r>
        <w:rPr>
          <w:rFonts w:ascii="Times New Roman" w:hAnsi="Times New Roman" w:eastAsia="宋体"/>
          <w:b/>
          <w:sz w:val="32"/>
        </w:rPr>
        <w:t>2026年8月1日</w:t>
      </w:r>
      <w:r>
        <w:br w:type="page"/>
      </w:r>
    </w:p>
    <w:p w14:paraId="4FAA54A9">
      <w:pPr>
        <w:widowControl/>
        <w:spacing w:before="0" w:after="0" w:line="440" w:lineRule="exact"/>
        <w:ind w:firstLine="0"/>
        <w:jc w:val="both"/>
      </w:pPr>
      <w:r>
        <w:rPr>
          <w:rFonts w:ascii="Times New Roman" w:hAnsi="Times New Roman" w:eastAsia="宋体"/>
          <w:b/>
          <w:sz w:val="24"/>
        </w:rPr>
        <w:t>摘要：</w:t>
      </w:r>
      <w:r>
        <w:rPr>
          <w:rFonts w:ascii="Times New Roman" w:hAnsi="Times New Roman" w:eastAsia="宋体"/>
          <w:sz w:val="24"/>
        </w:rPr>
        <w:t>针对车载平衡滚球运动控制系统在循迹行驶、车体加减速扰动和视觉测量延迟共同作用下的控制问题，本设计构建了由循迹小车、视觉定位模块、摆杆执行机构、图传记录装置和人机交互模块组成的分层控制系统。小车采用七路红外阵列计算黑线偏差，以差速运动学和增量式PID实现直线、半圆弧及启停线的可靠识别；钢球位置由固定在摆杆上方的摄像头获取，经透视标定、圆形目标筛选和α-β状态估计得到位置与速度。根据实心钢球在倾斜凹槽内的滚动模型，设计位置-速度双闭环控制，并引入车体纵向加速度前馈、角度限幅、积分抗饱和和目标位置轨迹规划，兼顾静态往返、中心稳定及任意指定位置稳定。系统采用多速率任务调度，将循迹、球杆控制、视觉更新、计时显示和图传记录解耦，形成可标定、可测试、可复现的工程实现方案。</w:t>
      </w:r>
    </w:p>
    <w:p w14:paraId="1E9738B6">
      <w:pPr>
        <w:widowControl/>
        <w:spacing w:before="0" w:after="0" w:line="440" w:lineRule="exact"/>
        <w:ind w:firstLine="0"/>
        <w:jc w:val="both"/>
      </w:pPr>
      <w:r>
        <w:rPr>
          <w:rFonts w:ascii="Times New Roman" w:hAnsi="Times New Roman" w:eastAsia="宋体"/>
          <w:b/>
          <w:sz w:val="24"/>
        </w:rPr>
        <w:t>关键词：</w:t>
      </w:r>
      <w:r>
        <w:rPr>
          <w:rFonts w:ascii="Times New Roman" w:hAnsi="Times New Roman" w:eastAsia="宋体"/>
          <w:sz w:val="24"/>
        </w:rPr>
        <w:t>红外循迹；机器视觉；球杆系统；双闭环控制；加速度前馈</w:t>
      </w:r>
    </w:p>
    <w:p w14:paraId="43683BB8">
      <w:pPr>
        <w:sectPr>
          <w:headerReference r:id="rId5" w:type="default"/>
          <w:footerReference r:id="rId6" w:type="default"/>
          <w:pgSz w:w="11906" w:h="16838"/>
          <w:pgMar w:top="1871" w:right="1800" w:bottom="1440" w:left="1800" w:header="851" w:footer="992" w:gutter="0"/>
          <w:cols w:space="0" w:num="1"/>
          <w:docGrid w:type="lines" w:linePitch="314" w:charSpace="0"/>
        </w:sectPr>
      </w:pPr>
    </w:p>
    <w:p w14:paraId="0E413A4F">
      <w:pPr>
        <w:spacing w:before="200" w:after="280"/>
        <w:jc w:val="center"/>
      </w:pPr>
      <w:r>
        <w:rPr>
          <w:rFonts w:ascii="Times New Roman" w:hAnsi="Times New Roman" w:eastAsia="宋体"/>
          <w:sz w:val="40"/>
        </w:rPr>
        <w:t>目 录</w:t>
      </w:r>
    </w:p>
    <w:p w14:paraId="196EFE29">
      <w:pPr>
        <w:pStyle w:val="7"/>
        <w:tabs>
          <w:tab w:val="right" w:leader="dot" w:pos="8306"/>
        </w:tabs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fldChar w:fldCharType="begin"/>
      </w:r>
      <w:r>
        <w:instrText xml:space="preserve"> HYPERLINK \l _Toc4366 </w:instrText>
      </w:r>
      <w:r>
        <w:fldChar w:fldCharType="separate"/>
      </w:r>
      <w:r>
        <w:rPr>
          <w:rFonts w:ascii="Times New Roman" w:hAnsi="Times New Roman" w:eastAsia="宋体"/>
        </w:rPr>
        <w:t>一、系统方案</w:t>
      </w:r>
      <w:r>
        <w:tab/>
      </w:r>
      <w:r>
        <w:fldChar w:fldCharType="begin"/>
      </w:r>
      <w:r>
        <w:instrText xml:space="preserve"> PAGEREF _Toc4366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68B7F47C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_Toc5540 </w:instrText>
      </w:r>
      <w:r>
        <w:fldChar w:fldCharType="separate"/>
      </w:r>
      <w:r>
        <w:rPr>
          <w:rFonts w:ascii="Times New Roman" w:hAnsi="Times New Roman" w:eastAsia="宋体"/>
        </w:rPr>
        <w:t>1、总体方案</w:t>
      </w:r>
      <w:r>
        <w:tab/>
      </w:r>
      <w:r>
        <w:fldChar w:fldCharType="begin"/>
      </w:r>
      <w:r>
        <w:instrText xml:space="preserve"> PAGEREF _Toc5540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5E0056DE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_Toc24547 </w:instrText>
      </w:r>
      <w:r>
        <w:fldChar w:fldCharType="separate"/>
      </w:r>
      <w:r>
        <w:rPr>
          <w:rFonts w:ascii="Times New Roman" w:hAnsi="Times New Roman" w:eastAsia="宋体"/>
        </w:rPr>
        <w:t>2、小车循迹控制方案论证</w:t>
      </w:r>
      <w:r>
        <w:tab/>
      </w:r>
      <w:r>
        <w:fldChar w:fldCharType="begin"/>
      </w:r>
      <w:r>
        <w:instrText xml:space="preserve"> PAGEREF _Toc24547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76953A46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_Toc12950 </w:instrText>
      </w:r>
      <w:r>
        <w:fldChar w:fldCharType="separate"/>
      </w:r>
      <w:r>
        <w:rPr>
          <w:rFonts w:ascii="Times New Roman" w:hAnsi="Times New Roman" w:eastAsia="宋体"/>
        </w:rPr>
        <w:t>3、钢球位置检测方案论证</w:t>
      </w:r>
      <w:r>
        <w:tab/>
      </w:r>
      <w:r>
        <w:fldChar w:fldCharType="begin"/>
      </w:r>
      <w:r>
        <w:instrText xml:space="preserve"> PAGEREF _Toc12950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0E19116D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_Toc14810 </w:instrText>
      </w:r>
      <w:r>
        <w:fldChar w:fldCharType="separate"/>
      </w:r>
      <w:r>
        <w:rPr>
          <w:rFonts w:ascii="Times New Roman" w:hAnsi="Times New Roman" w:eastAsia="宋体"/>
        </w:rPr>
        <w:t>4、摆杆执行机构与控制方案论证</w:t>
      </w:r>
      <w:r>
        <w:tab/>
      </w:r>
      <w:r>
        <w:fldChar w:fldCharType="begin"/>
      </w:r>
      <w:r>
        <w:instrText xml:space="preserve"> PAGEREF _Toc14810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22D2907E">
      <w:pPr>
        <w:pStyle w:val="7"/>
        <w:tabs>
          <w:tab w:val="right" w:leader="dot" w:pos="8306"/>
        </w:tabs>
      </w:pPr>
      <w:r>
        <w:fldChar w:fldCharType="begin"/>
      </w:r>
      <w:r>
        <w:instrText xml:space="preserve"> HYPERLINK \l _Toc10984 </w:instrText>
      </w:r>
      <w:r>
        <w:fldChar w:fldCharType="separate"/>
      </w:r>
      <w:r>
        <w:rPr>
          <w:rFonts w:ascii="Times New Roman" w:hAnsi="Times New Roman" w:eastAsia="宋体"/>
        </w:rPr>
        <w:t>二、理论分析与计算</w:t>
      </w:r>
      <w:r>
        <w:tab/>
      </w:r>
      <w:r>
        <w:fldChar w:fldCharType="begin"/>
      </w:r>
      <w:r>
        <w:instrText xml:space="preserve"> PAGEREF _Toc10984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4C91905E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_Toc29789 </w:instrText>
      </w:r>
      <w:r>
        <w:fldChar w:fldCharType="separate"/>
      </w:r>
      <w:r>
        <w:rPr>
          <w:rFonts w:ascii="Times New Roman" w:hAnsi="Times New Roman" w:eastAsia="宋体"/>
        </w:rPr>
        <w:t>1、小车循迹运动学与终点控制</w:t>
      </w:r>
      <w:r>
        <w:tab/>
      </w:r>
      <w:r>
        <w:fldChar w:fldCharType="begin"/>
      </w:r>
      <w:r>
        <w:instrText xml:space="preserve"> PAGEREF _Toc29789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24B60CDF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_Toc28302 </w:instrText>
      </w:r>
      <w:r>
        <w:fldChar w:fldCharType="separate"/>
      </w:r>
      <w:r>
        <w:rPr>
          <w:rFonts w:ascii="Times New Roman" w:hAnsi="Times New Roman" w:eastAsia="宋体"/>
        </w:rPr>
        <w:t>2、球杆系统动力学模型</w:t>
      </w:r>
      <w:r>
        <w:tab/>
      </w:r>
      <w:r>
        <w:fldChar w:fldCharType="begin"/>
      </w:r>
      <w:r>
        <w:instrText xml:space="preserve"> PAGEREF _Toc28302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5757F175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_Toc14078 </w:instrText>
      </w:r>
      <w:r>
        <w:fldChar w:fldCharType="separate"/>
      </w:r>
      <w:r>
        <w:rPr>
          <w:rFonts w:ascii="Times New Roman" w:hAnsi="Times New Roman" w:eastAsia="宋体"/>
        </w:rPr>
        <w:t>3、视觉坐标映射与状态估计</w:t>
      </w:r>
      <w:r>
        <w:tab/>
      </w:r>
      <w:r>
        <w:fldChar w:fldCharType="begin"/>
      </w:r>
      <w:r>
        <w:instrText xml:space="preserve"> PAGEREF _Toc14078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7BF81274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_Toc18580 </w:instrText>
      </w:r>
      <w:r>
        <w:fldChar w:fldCharType="separate"/>
      </w:r>
      <w:r>
        <w:rPr>
          <w:rFonts w:ascii="Times New Roman" w:hAnsi="Times New Roman" w:eastAsia="宋体"/>
        </w:rPr>
        <w:t>4、双闭环与抗扰控制</w:t>
      </w:r>
      <w:r>
        <w:tab/>
      </w:r>
      <w:r>
        <w:fldChar w:fldCharType="begin"/>
      </w:r>
      <w:r>
        <w:instrText xml:space="preserve"> PAGEREF _Toc18580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6C72307">
      <w:pPr>
        <w:pStyle w:val="7"/>
        <w:tabs>
          <w:tab w:val="right" w:leader="dot" w:pos="8306"/>
        </w:tabs>
      </w:pPr>
      <w:r>
        <w:fldChar w:fldCharType="begin"/>
      </w:r>
      <w:r>
        <w:instrText xml:space="preserve"> HYPERLINK \l _Toc25423 </w:instrText>
      </w:r>
      <w:r>
        <w:fldChar w:fldCharType="separate"/>
      </w:r>
      <w:r>
        <w:rPr>
          <w:rFonts w:ascii="Times New Roman" w:hAnsi="Times New Roman" w:eastAsia="宋体"/>
        </w:rPr>
        <w:t>三、电路与程序设计</w:t>
      </w:r>
      <w:r>
        <w:tab/>
      </w:r>
      <w:r>
        <w:fldChar w:fldCharType="begin"/>
      </w:r>
      <w:r>
        <w:instrText xml:space="preserve"> PAGEREF _Toc25423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7D010DF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_Toc13336 </w:instrText>
      </w:r>
      <w:r>
        <w:fldChar w:fldCharType="separate"/>
      </w:r>
      <w:r>
        <w:rPr>
          <w:rFonts w:ascii="Times New Roman" w:hAnsi="Times New Roman" w:eastAsia="宋体"/>
        </w:rPr>
        <w:t>1、控制电路与硬件连接</w:t>
      </w:r>
      <w:r>
        <w:tab/>
      </w:r>
      <w:r>
        <w:fldChar w:fldCharType="begin"/>
      </w:r>
      <w:r>
        <w:instrText xml:space="preserve"> PAGEREF _Toc13336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CD88073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_Toc28804 </w:instrText>
      </w:r>
      <w:r>
        <w:fldChar w:fldCharType="separate"/>
      </w:r>
      <w:r>
        <w:rPr>
          <w:rFonts w:ascii="Times New Roman" w:hAnsi="Times New Roman" w:eastAsia="宋体"/>
        </w:rPr>
        <w:t>2、程序结构与时序</w:t>
      </w:r>
      <w:r>
        <w:tab/>
      </w:r>
      <w:r>
        <w:fldChar w:fldCharType="begin"/>
      </w:r>
      <w:r>
        <w:instrText xml:space="preserve"> PAGEREF _Toc28804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252E48E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_Toc14813 </w:instrText>
      </w:r>
      <w:r>
        <w:fldChar w:fldCharType="separate"/>
      </w:r>
      <w:r>
        <w:rPr>
          <w:rFonts w:ascii="Times New Roman" w:hAnsi="Times New Roman" w:eastAsia="宋体"/>
        </w:rPr>
        <w:t>3、标定、限幅与故障处理</w:t>
      </w:r>
      <w:r>
        <w:tab/>
      </w:r>
      <w:r>
        <w:fldChar w:fldCharType="begin"/>
      </w:r>
      <w:r>
        <w:instrText xml:space="preserve"> PAGEREF _Toc14813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A7C9F9B">
      <w:pPr>
        <w:pStyle w:val="7"/>
        <w:tabs>
          <w:tab w:val="right" w:leader="dot" w:pos="8306"/>
        </w:tabs>
      </w:pPr>
      <w:r>
        <w:fldChar w:fldCharType="begin"/>
      </w:r>
      <w:r>
        <w:instrText xml:space="preserve"> HYPERLINK \l _Toc294 </w:instrText>
      </w:r>
      <w:r>
        <w:fldChar w:fldCharType="separate"/>
      </w:r>
      <w:r>
        <w:rPr>
          <w:rFonts w:ascii="Times New Roman" w:hAnsi="Times New Roman" w:eastAsia="宋体"/>
        </w:rPr>
        <w:t>四、测试方案与测试结果</w:t>
      </w:r>
      <w:r>
        <w:tab/>
      </w:r>
      <w:r>
        <w:fldChar w:fldCharType="begin"/>
      </w:r>
      <w:r>
        <w:instrText xml:space="preserve"> PAGEREF _Toc294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6D5D1D98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_Toc9147 </w:instrText>
      </w:r>
      <w:r>
        <w:fldChar w:fldCharType="separate"/>
      </w:r>
      <w:r>
        <w:rPr>
          <w:rFonts w:ascii="Times New Roman" w:hAnsi="Times New Roman" w:eastAsia="宋体"/>
        </w:rPr>
        <w:t>1、测试条件与仪器</w:t>
      </w:r>
      <w:r>
        <w:tab/>
      </w:r>
      <w:r>
        <w:fldChar w:fldCharType="begin"/>
      </w:r>
      <w:r>
        <w:instrText xml:space="preserve"> PAGEREF _Toc9147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22B135C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_Toc27489 </w:instrText>
      </w:r>
      <w:r>
        <w:fldChar w:fldCharType="separate"/>
      </w:r>
      <w:r>
        <w:rPr>
          <w:rFonts w:ascii="Times New Roman" w:hAnsi="Times New Roman" w:eastAsia="宋体"/>
        </w:rPr>
        <w:t>2、测试步骤与数据处理</w:t>
      </w:r>
      <w:r>
        <w:tab/>
      </w:r>
      <w:r>
        <w:fldChar w:fldCharType="begin"/>
      </w:r>
      <w:r>
        <w:instrText xml:space="preserve"> PAGEREF _Toc27489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5635175A"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_Toc31791 </w:instrText>
      </w:r>
      <w:r>
        <w:fldChar w:fldCharType="separate"/>
      </w:r>
      <w:r>
        <w:rPr>
          <w:rFonts w:ascii="Times New Roman" w:hAnsi="Times New Roman" w:eastAsia="宋体"/>
        </w:rPr>
        <w:t>3、判定方法与误差分析</w:t>
      </w:r>
      <w:r>
        <w:tab/>
      </w:r>
      <w:r>
        <w:fldChar w:fldCharType="begin"/>
      </w:r>
      <w:r>
        <w:instrText xml:space="preserve"> PAGEREF _Toc31791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2F43E7E7">
      <w:pPr>
        <w:pStyle w:val="7"/>
        <w:tabs>
          <w:tab w:val="right" w:leader="dot" w:pos="8306"/>
        </w:tabs>
      </w:pPr>
      <w:r>
        <w:fldChar w:fldCharType="begin"/>
      </w:r>
      <w:r>
        <w:instrText xml:space="preserve"> HYPERLINK \l _Toc28848 </w:instrText>
      </w:r>
      <w:r>
        <w:fldChar w:fldCharType="separate"/>
      </w:r>
      <w:r>
        <w:rPr>
          <w:rFonts w:ascii="Times New Roman" w:hAnsi="Times New Roman" w:eastAsia="宋体"/>
        </w:rPr>
        <w:t>五、结论与改进</w:t>
      </w:r>
      <w:r>
        <w:tab/>
      </w:r>
      <w:r>
        <w:fldChar w:fldCharType="begin"/>
      </w:r>
      <w:r>
        <w:instrText xml:space="preserve"> PAGEREF _Toc28848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158CBC66">
      <w:pPr>
        <w:pStyle w:val="7"/>
        <w:tabs>
          <w:tab w:val="right" w:leader="dot" w:pos="8306"/>
        </w:tabs>
      </w:pPr>
      <w:r>
        <w:fldChar w:fldCharType="begin"/>
      </w:r>
      <w:r>
        <w:instrText xml:space="preserve"> HYPERLINK \l _Toc17375 </w:instrText>
      </w:r>
      <w:r>
        <w:fldChar w:fldCharType="separate"/>
      </w:r>
      <w:r>
        <w:rPr>
          <w:rFonts w:ascii="Times New Roman" w:hAnsi="Times New Roman" w:eastAsia="宋体"/>
        </w:rPr>
        <w:t>六、参考文献</w:t>
      </w:r>
      <w:r>
        <w:tab/>
      </w:r>
      <w:r>
        <w:fldChar w:fldCharType="begin"/>
      </w:r>
      <w:r>
        <w:instrText xml:space="preserve"> PAGEREF _Toc17375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43775ECC">
      <w:pPr>
        <w:pStyle w:val="7"/>
        <w:tabs>
          <w:tab w:val="right" w:leader="dot" w:pos="8306"/>
        </w:tabs>
      </w:pPr>
      <w:r>
        <w:fldChar w:fldCharType="begin"/>
      </w:r>
      <w:r>
        <w:instrText xml:space="preserve"> HYPERLINK \l _Toc2032 </w:instrText>
      </w:r>
      <w:r>
        <w:fldChar w:fldCharType="separate"/>
      </w:r>
      <w:r>
        <w:rPr>
          <w:rFonts w:ascii="Times New Roman" w:hAnsi="Times New Roman" w:eastAsia="宋体"/>
        </w:rPr>
        <w:t>附录：核心控制伪代码</w:t>
      </w:r>
      <w:r>
        <w:tab/>
      </w:r>
      <w:r>
        <w:fldChar w:fldCharType="begin"/>
      </w:r>
      <w:r>
        <w:instrText xml:space="preserve"> PAGEREF _Toc2032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07A36248">
      <w:pPr>
        <w:widowControl/>
        <w:spacing w:before="0" w:after="0" w:line="360" w:lineRule="exact"/>
        <w:ind w:firstLine="0"/>
        <w:jc w:val="left"/>
      </w:pPr>
      <w:r>
        <w:fldChar w:fldCharType="end"/>
      </w:r>
    </w:p>
    <w:p w14:paraId="06B93DB3">
      <w:pPr>
        <w:sectPr>
          <w:headerReference r:id="rId7" w:type="default"/>
          <w:footerReference r:id="rId8" w:type="default"/>
          <w:pgSz w:w="11906" w:h="16838"/>
          <w:pgMar w:top="1871" w:right="1800" w:bottom="1440" w:left="1800" w:header="851" w:footer="992" w:gutter="0"/>
          <w:cols w:space="0" w:num="1"/>
          <w:docGrid w:type="lines" w:linePitch="314" w:charSpace="0"/>
        </w:sectPr>
      </w:pPr>
    </w:p>
    <w:p w14:paraId="1731971B">
      <w:pPr>
        <w:widowControl/>
        <w:spacing w:before="0" w:after="0" w:line="440" w:lineRule="exact"/>
        <w:ind w:firstLine="0"/>
        <w:jc w:val="center"/>
      </w:pPr>
      <w:r>
        <w:rPr>
          <w:rFonts w:ascii="Times New Roman" w:hAnsi="Times New Roman" w:eastAsia="宋体"/>
          <w:sz w:val="36"/>
        </w:rPr>
        <w:t>车载平衡滚球运动控制系统（</w:t>
      </w:r>
      <w:r>
        <w:rPr>
          <w:rFonts w:ascii="Times New Roman" w:hAnsi="Times New Roman" w:eastAsia="宋体"/>
          <w:b/>
          <w:sz w:val="36"/>
        </w:rPr>
        <w:t>H</w:t>
      </w:r>
      <w:r>
        <w:rPr>
          <w:rFonts w:ascii="Times New Roman" w:hAnsi="Times New Roman" w:eastAsia="宋体"/>
          <w:sz w:val="36"/>
        </w:rPr>
        <w:t>题）</w:t>
      </w:r>
    </w:p>
    <w:p w14:paraId="1D8D0E56">
      <w:pPr>
        <w:widowControl/>
        <w:spacing w:before="0" w:after="0" w:line="440" w:lineRule="exact"/>
        <w:ind w:firstLine="0"/>
        <w:jc w:val="center"/>
      </w:pPr>
      <w:r>
        <w:rPr>
          <w:rFonts w:ascii="Times New Roman" w:hAnsi="Times New Roman" w:eastAsia="宋体"/>
          <w:sz w:val="36"/>
        </w:rPr>
        <w:t>【本科组】</w:t>
      </w:r>
    </w:p>
    <w:p w14:paraId="13F51D0F">
      <w:pPr>
        <w:pStyle w:val="2"/>
        <w:keepNext/>
      </w:pPr>
      <w:bookmarkStart w:id="0" w:name="_Toc4366"/>
      <w:r>
        <w:rPr>
          <w:rFonts w:ascii="Times New Roman" w:hAnsi="Times New Roman" w:eastAsia="宋体"/>
          <w:b/>
          <w:sz w:val="28"/>
        </w:rPr>
        <w:t>一、系统方案</w:t>
      </w:r>
      <w:bookmarkEnd w:id="0"/>
    </w:p>
    <w:p w14:paraId="3C6BF5B3">
      <w:pPr>
        <w:pStyle w:val="3"/>
        <w:keepNext/>
      </w:pPr>
      <w:bookmarkStart w:id="1" w:name="_Toc5540"/>
      <w:r>
        <w:rPr>
          <w:rFonts w:ascii="Times New Roman" w:hAnsi="Times New Roman" w:eastAsia="宋体"/>
          <w:b/>
          <w:sz w:val="24"/>
        </w:rPr>
        <w:t>1、总体方案</w:t>
      </w:r>
      <w:bookmarkEnd w:id="1"/>
    </w:p>
    <w:p w14:paraId="46D1E676">
      <w:pPr>
        <w:widowControl/>
        <w:spacing w:before="0" w:after="0" w:line="440" w:lineRule="exact"/>
        <w:ind w:firstLine="420"/>
        <w:jc w:val="both"/>
      </w:pPr>
      <w:r>
        <w:rPr>
          <w:rFonts w:ascii="Times New Roman" w:hAnsi="Times New Roman" w:eastAsia="宋体"/>
          <w:sz w:val="24"/>
        </w:rPr>
        <w:t>系统由循迹底盘、球位视觉检测、摆杆角度执行、图传记录和人机交互五部分组成。摆杆沿小车纵向中心线布置，左端铰接点距车体平板不小于5 cm，右端由数字舵机经连杆改变高度。这种布置使弯道横向向心加速度主要由凹槽侧壁承担，沿摆杆方向的主要扰动转化为小车纵向加减速，便于通过前馈补偿。OpenMV摄像头仅承担钢球定位，独立图传摄像头与发送模块负责实时显示、录像和回放，控制链与图传链互不占用带宽。系统总体结构如图1所示。</w:t>
      </w:r>
    </w:p>
    <w:p w14:paraId="112EE4EE">
      <w:pPr>
        <w:keepNext/>
        <w:spacing w:line="240" w:lineRule="auto"/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120640" cy="2788285"/>
            <wp:effectExtent l="0" t="0" r="0" b="635"/>
            <wp:docPr id="2" name="图片 2" descr="system_bl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system_block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F1A58">
      <w:pPr>
        <w:widowControl/>
        <w:spacing w:before="0" w:after="0" w:line="360" w:lineRule="exact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图1 系统总体框图</w:t>
      </w:r>
    </w:p>
    <w:p w14:paraId="24EBD4B7">
      <w:pPr>
        <w:keepNext/>
        <w:spacing w:before="40" w:after="20"/>
      </w:pPr>
      <w:r>
        <w:rPr>
          <w:rFonts w:ascii="Times New Roman" w:hAnsi="Times New Roman" w:eastAsia="宋体"/>
          <w:b/>
          <w:sz w:val="18"/>
        </w:rPr>
        <w:t>表1 题目指标与设计对应关系</w:t>
      </w:r>
    </w:p>
    <w:tbl>
      <w:tblPr>
        <w:tblStyle w:val="11"/>
        <w:tblW w:w="81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0"/>
        <w:gridCol w:w="2050"/>
        <w:gridCol w:w="4300"/>
      </w:tblGrid>
      <w:tr w14:paraId="7AB26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50" w:type="dxa"/>
            <w:shd w:val="clear" w:color="auto" w:fill="D9E1F2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E8A0079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题目要求</w:t>
            </w:r>
          </w:p>
        </w:tc>
        <w:tc>
          <w:tcPr>
            <w:tcW w:w="2050" w:type="dxa"/>
            <w:shd w:val="clear" w:color="auto" w:fill="D9E1F2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42A506F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关键指标</w:t>
            </w:r>
          </w:p>
        </w:tc>
        <w:tc>
          <w:tcPr>
            <w:tcW w:w="4300" w:type="dxa"/>
            <w:shd w:val="clear" w:color="auto" w:fill="D9E1F2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301E997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设计对策</w:t>
            </w:r>
          </w:p>
        </w:tc>
      </w:tr>
      <w:tr w14:paraId="0455B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D55583E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图传与回放</w:t>
            </w:r>
          </w:p>
        </w:tc>
        <w:tc>
          <w:tcPr>
            <w:tcW w:w="20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4C8DFF4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画面覆盖全摆杆，完整记录</w:t>
            </w:r>
          </w:p>
        </w:tc>
        <w:tc>
          <w:tcPr>
            <w:tcW w:w="43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1B7B25A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控制相机与独立图传分离；接收端同步录像</w:t>
            </w:r>
          </w:p>
        </w:tc>
      </w:tr>
      <w:tr w14:paraId="68FC7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F71CE06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循迹一圈并停车</w:t>
            </w:r>
          </w:p>
        </w:tc>
        <w:tc>
          <w:tcPr>
            <w:tcW w:w="20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A3AE6E3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t≤20 s，停车偏差≤2 cm</w:t>
            </w:r>
          </w:p>
        </w:tc>
        <w:tc>
          <w:tcPr>
            <w:tcW w:w="43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CDD3700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速度分段、里程预减速、启停线全黑判据、主动制动</w:t>
            </w:r>
          </w:p>
        </w:tc>
      </w:tr>
      <w:tr w14:paraId="4FC3E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4C12550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静态O→+5→-5 cm</w:t>
            </w:r>
          </w:p>
        </w:tc>
        <w:tc>
          <w:tcPr>
            <w:tcW w:w="20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C0FEAB0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t≤5 s，最大误差≤1 cm</w:t>
            </w:r>
          </w:p>
        </w:tc>
        <w:tc>
          <w:tcPr>
            <w:tcW w:w="43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EC71791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S形目标规划、双闭环、到位判据和抗饱和</w:t>
            </w:r>
          </w:p>
        </w:tc>
      </w:tr>
      <w:tr w14:paraId="7D4C9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C970480">
            <w:pPr>
              <w:spacing w:before="0" w:after="0" w:line="260" w:lineRule="exact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</w:rPr>
              <w:t>动态中心/任意位置</w:t>
            </w:r>
          </w:p>
        </w:tc>
        <w:tc>
          <w:tcPr>
            <w:tcW w:w="20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96F70AC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一圈≤30 s，误差≤1 cm</w:t>
            </w:r>
          </w:p>
        </w:tc>
        <w:tc>
          <w:tcPr>
            <w:tcW w:w="43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2338319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球杆沿纵向布置、加速度前馈、弯道降速</w:t>
            </w:r>
          </w:p>
        </w:tc>
      </w:tr>
    </w:tbl>
    <w:p w14:paraId="6F0F7AC8">
      <w:pPr>
        <w:spacing w:before="20" w:after="0"/>
      </w:pPr>
    </w:p>
    <w:p w14:paraId="3E27526F">
      <w:pPr>
        <w:pStyle w:val="3"/>
        <w:keepNext/>
      </w:pPr>
      <w:bookmarkStart w:id="2" w:name="_Toc24547"/>
      <w:r>
        <w:rPr>
          <w:rFonts w:ascii="Times New Roman" w:hAnsi="Times New Roman" w:eastAsia="宋体"/>
          <w:b/>
          <w:sz w:val="24"/>
        </w:rPr>
        <w:t>2、小车循迹控制方案论证</w:t>
      </w:r>
      <w:bookmarkEnd w:id="2"/>
    </w:p>
    <w:p w14:paraId="273D9F2F">
      <w:pPr>
        <w:widowControl/>
        <w:spacing w:before="0" w:after="0" w:line="440" w:lineRule="exact"/>
        <w:ind w:firstLine="420"/>
        <w:jc w:val="both"/>
      </w:pPr>
      <w:r>
        <w:rPr>
          <w:rFonts w:ascii="Times New Roman" w:hAnsi="Times New Roman" w:eastAsia="宋体"/>
          <w:sz w:val="24"/>
        </w:rPr>
        <w:t>方案一采用少量开关式红外传感器和分段转向逻辑，结构简单，但黑线宽度、环境光和安装高度变化会使控制量突变，在半径0.5 m的连续弯道上容易形成左右摆动。方案二采用横向七路红外阵列，以各通道位置加权求取连续偏差，再由PID调节左右轮速度差；轮速编码器闭环保持基准速度，并依据直线、弯道和终点阶段切换速度。方案二可同时提高轨迹连续性、计时可重复性和终点制动精度，故本设计采用方案二。</w:t>
      </w:r>
    </w:p>
    <w:p w14:paraId="7452C47B">
      <w:pPr>
        <w:pStyle w:val="3"/>
        <w:keepNext/>
      </w:pPr>
      <w:bookmarkStart w:id="3" w:name="_Toc12950"/>
      <w:r>
        <w:rPr>
          <w:rFonts w:ascii="Times New Roman" w:hAnsi="Times New Roman" w:eastAsia="宋体"/>
          <w:b/>
          <w:sz w:val="24"/>
        </w:rPr>
        <w:t>3、钢球位置检测方案论证</w:t>
      </w:r>
      <w:bookmarkEnd w:id="3"/>
    </w:p>
    <w:p w14:paraId="4533B061">
      <w:pPr>
        <w:widowControl/>
        <w:spacing w:before="0" w:after="0" w:line="440" w:lineRule="exact"/>
        <w:ind w:firstLine="420"/>
        <w:jc w:val="both"/>
      </w:pPr>
      <w:r>
        <w:rPr>
          <w:rFonts w:ascii="Times New Roman" w:hAnsi="Times New Roman" w:eastAsia="宋体"/>
          <w:sz w:val="24"/>
        </w:rPr>
        <w:t>方案一使用线性电阻、光电对管等接触或近场传感器，虽然采样快，但会改变凹槽结构或遮挡钢球，不符合题目规定。方案二在摆杆上方固定摄像头，利用槽边刻度和端点建立一维坐标，将钢球圆形区域的质心映射为物理位置。为削弱反光影响，采用固定曝光、局部ROI、灰度阈值与圆度联合筛选，并用上一帧预测位置限制搜索区域。该方案满足“凹槽内钢球位置检测必须采用摄像头”的约束，且不改变PPR管内壁，故采用方案二。</w:t>
      </w:r>
    </w:p>
    <w:p w14:paraId="31EDD9DB">
      <w:pPr>
        <w:pStyle w:val="3"/>
        <w:keepNext/>
      </w:pPr>
      <w:bookmarkStart w:id="4" w:name="_Toc14810"/>
      <w:r>
        <w:rPr>
          <w:rFonts w:ascii="Times New Roman" w:hAnsi="Times New Roman" w:eastAsia="宋体"/>
          <w:b/>
          <w:sz w:val="24"/>
        </w:rPr>
        <w:t>4、摆杆执行机构与控制方案论证</w:t>
      </w:r>
      <w:bookmarkEnd w:id="4"/>
    </w:p>
    <w:p w14:paraId="7A4B8A35">
      <w:pPr>
        <w:widowControl/>
        <w:spacing w:before="0" w:after="0" w:line="440" w:lineRule="exact"/>
        <w:ind w:firstLine="420"/>
        <w:jc w:val="both"/>
      </w:pPr>
      <w:r>
        <w:rPr>
          <w:rFonts w:ascii="Times New Roman" w:hAnsi="Times New Roman" w:eastAsia="宋体"/>
          <w:sz w:val="24"/>
        </w:rPr>
        <w:t>步进电机开环角度分辨率高，但驱动器和机械传动体积较大，失步后无法自校正；直流减速电机需另加位置反馈，结构复杂。数字舵机集成角度闭环，PWM接口简单，配合短摇臂和球头连杆可在有限空间内快速改变摆杆角度。按摆杆及钢球总质量0.12 kg、重心距铰点0.125 m估算，静态重力矩约0.147 N·m；选用额定转矩不低于2 N·m的金属齿轮数字舵机，静态裕量大于10倍。控制上采用位置-速度双闭环而非单纯位置PID，并限制摆角和摆角变化率，降低视觉延迟引起的振荡。</w:t>
      </w:r>
    </w:p>
    <w:p w14:paraId="4016EE7B">
      <w:pPr>
        <w:pStyle w:val="2"/>
        <w:keepNext/>
      </w:pPr>
      <w:bookmarkStart w:id="5" w:name="_Toc10984"/>
      <w:r>
        <w:rPr>
          <w:rFonts w:ascii="Times New Roman" w:hAnsi="Times New Roman" w:eastAsia="宋体"/>
          <w:b/>
          <w:sz w:val="28"/>
        </w:rPr>
        <w:t>二、理论分析与计算</w:t>
      </w:r>
      <w:bookmarkEnd w:id="5"/>
    </w:p>
    <w:p w14:paraId="36B83E50">
      <w:pPr>
        <w:pStyle w:val="3"/>
        <w:keepNext/>
      </w:pPr>
      <w:bookmarkStart w:id="6" w:name="_Toc29789"/>
      <w:r>
        <w:rPr>
          <w:rFonts w:ascii="Times New Roman" w:hAnsi="Times New Roman" w:eastAsia="宋体"/>
          <w:b/>
          <w:sz w:val="24"/>
        </w:rPr>
        <w:t>1、小车循迹运动学与终点控制</w:t>
      </w:r>
      <w:bookmarkEnd w:id="6"/>
    </w:p>
    <w:p w14:paraId="4EDFBF6D">
      <w:pPr>
        <w:widowControl/>
        <w:spacing w:before="0" w:after="0" w:line="440" w:lineRule="exact"/>
        <w:ind w:firstLine="420"/>
        <w:jc w:val="both"/>
      </w:pPr>
      <w:r>
        <w:rPr>
          <w:rFonts w:ascii="Times New Roman" w:hAnsi="Times New Roman" w:eastAsia="宋体"/>
          <w:sz w:val="24"/>
        </w:rPr>
        <w:t>设七路红外传感器横向坐标为wᵢ，检测到黑线时sᵢ=1，则归一化横向偏差eᵧ由加权质心给出。当有效通道数为零时保持上一时刻转向方向并降速；当大多数通道同时为黑且里程门限已满足时，判定检测到A点启停线。</w:t>
      </w:r>
    </w:p>
    <w:p w14:paraId="49F5A359">
      <w:pPr>
        <w:widowControl/>
        <w:spacing w:before="20" w:after="20" w:line="360" w:lineRule="exact"/>
        <w:ind w:firstLine="0"/>
        <w:jc w:val="center"/>
      </w:pPr>
      <w:r>
        <w:rPr>
          <w:rFonts w:ascii="Times New Roman" w:hAnsi="Times New Roman" w:eastAsia="宋体"/>
          <w:i/>
          <w:sz w:val="22"/>
        </w:rPr>
        <w:t>eᵧ = Σ(wᵢsᵢ) / Σsᵢ</w:t>
      </w:r>
    </w:p>
    <w:p w14:paraId="59786594">
      <w:pPr>
        <w:widowControl/>
        <w:spacing w:before="0" w:after="0" w:line="440" w:lineRule="exact"/>
        <w:ind w:firstLine="420"/>
        <w:jc w:val="both"/>
      </w:pPr>
      <w:r>
        <w:rPr>
          <w:rFonts w:ascii="Times New Roman" w:hAnsi="Times New Roman" w:eastAsia="宋体"/>
          <w:sz w:val="24"/>
        </w:rPr>
        <w:t>差速底盘以车体线速度v和角速度ω为控制量，轮距为b时，左右轮目标速度分别为：</w:t>
      </w:r>
    </w:p>
    <w:p w14:paraId="034B8497">
      <w:pPr>
        <w:widowControl/>
        <w:spacing w:before="20" w:after="20" w:line="360" w:lineRule="exact"/>
        <w:ind w:firstLine="0"/>
        <w:jc w:val="center"/>
      </w:pPr>
      <w:r>
        <w:rPr>
          <w:rFonts w:ascii="Times New Roman" w:hAnsi="Times New Roman" w:eastAsia="宋体"/>
          <w:i/>
          <w:sz w:val="22"/>
        </w:rPr>
        <w:t>vL = v - bω/2，vR = v + bω/2</w:t>
      </w:r>
    </w:p>
    <w:p w14:paraId="50137251">
      <w:pPr>
        <w:widowControl/>
        <w:spacing w:before="0" w:after="0" w:line="440" w:lineRule="exact"/>
        <w:ind w:firstLine="420"/>
        <w:jc w:val="both"/>
      </w:pPr>
      <w:r>
        <w:rPr>
          <w:rFonts w:ascii="Times New Roman" w:hAnsi="Times New Roman" w:eastAsia="宋体"/>
          <w:sz w:val="24"/>
        </w:rPr>
        <w:t>外环根据eᵧ计算ω，内环利用编码器调节两轮PWM。A点起步后的前0.5 m屏蔽启停线判据，接近一圈里程时提前降至0.12 m/s；检测启停线后立即短时反向制动，再用编码器低速修正。环路长度L=2×1.5+2π×0.5=6.142 m。20 s指标要求平均速度不低于0.307 m/s；快速模式取直线0.42 m/s、弯道0.30 m/s，理论运行时间约17.6 s，并预留识别和制动时间。滚球模式取直线0.30 m/s、弯道0.22 m/s，理论一圈约24.3 s；AB段理论用时5.0 s，均留有指标裕量。</w:t>
      </w:r>
    </w:p>
    <w:p w14:paraId="4C9CA650">
      <w:pPr>
        <w:pStyle w:val="3"/>
        <w:keepNext/>
      </w:pPr>
      <w:bookmarkStart w:id="7" w:name="_Toc28302"/>
      <w:r>
        <w:rPr>
          <w:rFonts w:ascii="Times New Roman" w:hAnsi="Times New Roman" w:eastAsia="宋体"/>
          <w:b/>
          <w:sz w:val="24"/>
        </w:rPr>
        <w:t>2、球杆系统动力学模型</w:t>
      </w:r>
      <w:bookmarkEnd w:id="7"/>
    </w:p>
    <w:p w14:paraId="7D3C03E8">
      <w:pPr>
        <w:widowControl/>
        <w:spacing w:before="0" w:after="0" w:line="440" w:lineRule="exact"/>
        <w:ind w:firstLine="420"/>
        <w:jc w:val="both"/>
      </w:pPr>
      <w:r>
        <w:rPr>
          <w:rFonts w:ascii="Times New Roman" w:hAnsi="Times New Roman" w:eastAsia="宋体"/>
          <w:sz w:val="24"/>
        </w:rPr>
        <w:t>以摆杆中心O为原点，沿右端方向为x正向；摆杆右端抬高时角度θ为正。钢球视为无滑动滚动的实心球，转动惯量I=2mr²/5。忽略小角度下的高阶耦合项，将摆杆沿自身方向的车体加速度记为a_x，由平动与转动方程可得：</w:t>
      </w:r>
    </w:p>
    <w:p w14:paraId="7D38465C">
      <w:pPr>
        <w:widowControl/>
        <w:spacing w:before="20" w:after="20" w:line="360" w:lineRule="exact"/>
        <w:ind w:firstLine="0"/>
        <w:jc w:val="center"/>
      </w:pPr>
      <w:r>
        <w:rPr>
          <w:rFonts w:ascii="Times New Roman" w:hAnsi="Times New Roman" w:eastAsia="宋体"/>
          <w:i/>
          <w:sz w:val="22"/>
        </w:rPr>
        <w:t>(m + I/r²)x¨ = -m(g sinθ + a_x cosθ)</w:t>
      </w:r>
    </w:p>
    <w:p w14:paraId="09CB7506">
      <w:pPr>
        <w:widowControl/>
        <w:spacing w:before="20" w:after="20" w:line="360" w:lineRule="exact"/>
        <w:ind w:firstLine="0"/>
        <w:jc w:val="center"/>
      </w:pPr>
      <w:r>
        <w:rPr>
          <w:rFonts w:ascii="Times New Roman" w:hAnsi="Times New Roman" w:eastAsia="宋体"/>
          <w:i/>
          <w:sz w:val="22"/>
        </w:rPr>
        <w:t>x¨ = -(5/7)(g sinθ + a_x cosθ) ≈ -(5/7)(gθ + a_x)</w:t>
      </w:r>
    </w:p>
    <w:p w14:paraId="6D02F035">
      <w:pPr>
        <w:widowControl/>
        <w:spacing w:before="0" w:after="0" w:line="440" w:lineRule="exact"/>
        <w:ind w:firstLine="420"/>
        <w:jc w:val="both"/>
      </w:pPr>
      <w:r>
        <w:rPr>
          <w:rFonts w:ascii="Times New Roman" w:hAnsi="Times New Roman" w:eastAsia="宋体"/>
          <w:sz w:val="24"/>
        </w:rPr>
        <w:t>该模型表明球杆系统本质上为双积分环节，开环时钢球不能在非水平位置稳定；小车加速产生的惯性项与重力倾角项同量纲，若只使用静态PID，起步和制动阶段会出现明显偏移。因此控制器必须包含速度反馈，并以a_x/g进行前馈抵消。摆杆沿车体纵向安装后，弯道向心加速度主要垂直于x轴，其沿杆投影仅作为有界扰动处理。</w:t>
      </w:r>
    </w:p>
    <w:p w14:paraId="562073F7">
      <w:pPr>
        <w:pStyle w:val="3"/>
        <w:keepNext/>
      </w:pPr>
      <w:bookmarkStart w:id="8" w:name="_Toc14078"/>
      <w:r>
        <w:rPr>
          <w:rFonts w:ascii="Times New Roman" w:hAnsi="Times New Roman" w:eastAsia="宋体"/>
          <w:b/>
          <w:sz w:val="24"/>
        </w:rPr>
        <w:t>3、视觉坐标映射与状态估计</w:t>
      </w:r>
      <w:bookmarkEnd w:id="8"/>
    </w:p>
    <w:p w14:paraId="7B48CDC4">
      <w:pPr>
        <w:widowControl/>
        <w:spacing w:before="0" w:after="0" w:line="440" w:lineRule="exact"/>
        <w:ind w:firstLine="420"/>
        <w:jc w:val="both"/>
      </w:pPr>
      <w:r>
        <w:rPr>
          <w:rFonts w:ascii="Times New Roman" w:hAnsi="Times New Roman" w:eastAsia="宋体"/>
          <w:sz w:val="24"/>
        </w:rPr>
        <w:t>摄像头固定后，先在空槽图像中读取摆杆两端和中心刻度的像素坐标，通过单应性校正消除透视畸变。若校正后中心像素为uO、比例系数为k cm/pixel，钢球质心横坐标为u，则物理位置为x=k(u-uO)。以320×240图像覆盖25 cm摆杆估算，横向分辨率约12.8 pixel/cm，1 cm误差约对应13 pixel，通过质心计算可获得比单像素更细的定位分辨率。</w:t>
      </w:r>
    </w:p>
    <w:p w14:paraId="7F61D790">
      <w:pPr>
        <w:widowControl/>
        <w:spacing w:before="20" w:after="20" w:line="360" w:lineRule="exact"/>
        <w:ind w:firstLine="0"/>
        <w:jc w:val="center"/>
      </w:pPr>
      <w:r>
        <w:rPr>
          <w:rFonts w:ascii="Times New Roman" w:hAnsi="Times New Roman" w:eastAsia="宋体"/>
          <w:i/>
          <w:sz w:val="22"/>
        </w:rPr>
        <w:t>xₖ = k(uₖ - uO)</w:t>
      </w:r>
    </w:p>
    <w:p w14:paraId="75195406">
      <w:pPr>
        <w:widowControl/>
        <w:spacing w:before="0" w:after="0" w:line="440" w:lineRule="exact"/>
        <w:ind w:firstLine="420"/>
        <w:jc w:val="both"/>
      </w:pPr>
      <w:r>
        <w:rPr>
          <w:rFonts w:ascii="Times New Roman" w:hAnsi="Times New Roman" w:eastAsia="宋体"/>
          <w:sz w:val="24"/>
        </w:rPr>
        <w:t>视觉帧率低于控制频率，因此采用α-β观测器：新图像到达时用位置残差校正x和ẋ，帧间以匀速模型预测；连续丢失3帧时冻结积分并将摆杆缓慢回零，避免误识别导致舵机大幅动作。标定参数、ROI和曝光值写入非易失存储器，每次上电只需执行中心点复核。</w:t>
      </w:r>
    </w:p>
    <w:p w14:paraId="2D760FCF">
      <w:pPr>
        <w:pStyle w:val="3"/>
        <w:keepNext/>
      </w:pPr>
      <w:bookmarkStart w:id="9" w:name="_Toc18580"/>
      <w:r>
        <w:rPr>
          <w:rFonts w:ascii="Times New Roman" w:hAnsi="Times New Roman" w:eastAsia="宋体"/>
          <w:b/>
          <w:sz w:val="24"/>
        </w:rPr>
        <w:t>4、双闭环与抗扰控制</w:t>
      </w:r>
      <w:bookmarkEnd w:id="9"/>
    </w:p>
    <w:p w14:paraId="2B842E69">
      <w:pPr>
        <w:widowControl/>
        <w:spacing w:before="0" w:after="0" w:line="440" w:lineRule="exact"/>
        <w:ind w:firstLine="420"/>
        <w:jc w:val="both"/>
      </w:pPr>
      <w:r>
        <w:rPr>
          <w:rFonts w:ascii="Times New Roman" w:hAnsi="Times New Roman" w:eastAsia="宋体"/>
          <w:sz w:val="24"/>
        </w:rPr>
        <w:t>定义位置误差e=x-xr，其中xr为目标位置。外环由位置误差、估计速度和误差积分生成期望摆角，并加入纵向加速度前馈；内环利用舵机角度标定表将期望摆角换算为PWM。控制律写为：</w:t>
      </w:r>
    </w:p>
    <w:p w14:paraId="2053816C">
      <w:pPr>
        <w:widowControl/>
        <w:spacing w:before="20" w:after="20" w:line="360" w:lineRule="exact"/>
        <w:ind w:firstLine="0"/>
        <w:jc w:val="center"/>
      </w:pPr>
      <w:r>
        <w:rPr>
          <w:rFonts w:ascii="Times New Roman" w:hAnsi="Times New Roman" w:eastAsia="宋体"/>
          <w:i/>
          <w:sz w:val="22"/>
        </w:rPr>
        <w:t>θd = Kp e + Kd ẋ + Ki∫e dt - a_x/g</w:t>
      </w:r>
    </w:p>
    <w:p w14:paraId="01E6F708">
      <w:pPr>
        <w:widowControl/>
        <w:spacing w:before="0" w:after="0" w:line="440" w:lineRule="exact"/>
        <w:ind w:firstLine="420"/>
        <w:jc w:val="both"/>
      </w:pPr>
      <w:r>
        <w:rPr>
          <w:rFonts w:ascii="Times New Roman" w:hAnsi="Times New Roman" w:eastAsia="宋体"/>
          <w:sz w:val="24"/>
        </w:rPr>
        <w:t>当x偏向正方向时θd增大，右端抬高，钢球获得负向加速度，符号关系与模型一致。θd限制在±8°，同时设置摆角变化率上限；输出饱和时暂停积分，进入±0.3 cm死区后逐步衰减积分。静态往返任务不直接施加阶跃，而以S形轨迹将xr从0平滑移动到+5 cm；当|e|≤0.5 cm且持续100 ms后反向至-5 cm。动态任务中目标位置固定，弯道降速并保持控制器连续工作。任意指定位置通过按键以0.1 cm步进设定，软件限位为±10 cm，给摆杆端部预留安全距离。</w:t>
      </w:r>
    </w:p>
    <w:p w14:paraId="0E1D6C42">
      <w:pPr>
        <w:pStyle w:val="2"/>
        <w:keepNext/>
      </w:pPr>
      <w:bookmarkStart w:id="10" w:name="_Toc25423"/>
      <w:r>
        <w:rPr>
          <w:rFonts w:ascii="Times New Roman" w:hAnsi="Times New Roman" w:eastAsia="宋体"/>
          <w:b/>
          <w:sz w:val="28"/>
        </w:rPr>
        <w:t>三、电路与程序设计</w:t>
      </w:r>
      <w:bookmarkEnd w:id="10"/>
    </w:p>
    <w:p w14:paraId="23074402">
      <w:pPr>
        <w:pStyle w:val="3"/>
        <w:keepNext/>
      </w:pPr>
      <w:bookmarkStart w:id="11" w:name="_Toc13336"/>
      <w:r>
        <w:rPr>
          <w:rFonts w:ascii="Times New Roman" w:hAnsi="Times New Roman" w:eastAsia="宋体"/>
          <w:b/>
          <w:sz w:val="24"/>
        </w:rPr>
        <w:t>1、控制电路与硬件连接</w:t>
      </w:r>
      <w:bookmarkEnd w:id="11"/>
    </w:p>
    <w:p w14:paraId="2724D70D">
      <w:pPr>
        <w:widowControl/>
        <w:spacing w:before="0" w:after="0" w:line="440" w:lineRule="exact"/>
        <w:ind w:firstLine="420"/>
        <w:jc w:val="both"/>
      </w:pPr>
      <w:r>
        <w:rPr>
          <w:rFonts w:ascii="Times New Roman" w:hAnsi="Times New Roman" w:eastAsia="宋体"/>
          <w:sz w:val="24"/>
        </w:rPr>
        <w:t>主控制器选用MSPM0G3507，定时器输出两路电机PWM和一路舵机PWM，捕获单元读取左右编码器，ADC/数字输入采集七路红外阵列，UART接收OpenMV输出的时间戳、钢球坐标和置信度，I²C连接1.3英寸显示屏。电机驱动采用双H桥TB6612FNG，逻辑电源与电机电源分开去耦；启动、模式和加减按键均采用硬件上拉与软件消抖。独立图传发送模块和摄像头由单独的5 V稳压支路供电，接收端连接显示存储设备完成实时显示与录像。</w:t>
      </w:r>
    </w:p>
    <w:p w14:paraId="323C5463">
      <w:pPr>
        <w:widowControl/>
        <w:spacing w:before="0" w:after="0" w:line="440" w:lineRule="exact"/>
        <w:ind w:firstLine="420"/>
        <w:jc w:val="both"/>
      </w:pPr>
      <w:r>
        <w:rPr>
          <w:rFonts w:ascii="Times New Roman" w:hAnsi="Times New Roman" w:eastAsia="宋体"/>
          <w:sz w:val="24"/>
        </w:rPr>
        <w:t>电池经总开关后分为电机支路、舵机支路和逻辑支路。电机与舵机支路分别配置大容量低ESR电容，主控和视觉模块使用独立降压稳压；各支路单点汇接地，摄像头模拟地避免流经电机回流路径。电机端并联抑制电容，所有外接信号串联小电阻并设置共地，降低换向尖峰对视觉和串口的影响。</w:t>
      </w:r>
    </w:p>
    <w:p w14:paraId="19C36398">
      <w:pPr>
        <w:pStyle w:val="3"/>
        <w:keepNext/>
      </w:pPr>
      <w:bookmarkStart w:id="12" w:name="_Toc28804"/>
      <w:r>
        <w:rPr>
          <w:rFonts w:ascii="Times New Roman" w:hAnsi="Times New Roman" w:eastAsia="宋体"/>
          <w:b/>
          <w:sz w:val="24"/>
        </w:rPr>
        <w:t>2、程序结构与时序</w:t>
      </w:r>
      <w:bookmarkEnd w:id="12"/>
    </w:p>
    <w:p w14:paraId="45AFAEE7">
      <w:pPr>
        <w:widowControl/>
        <w:spacing w:before="0" w:after="0" w:line="440" w:lineRule="exact"/>
        <w:ind w:firstLine="420"/>
        <w:jc w:val="both"/>
      </w:pPr>
      <w:r>
        <w:rPr>
          <w:rFonts w:ascii="Times New Roman" w:hAnsi="Times New Roman" w:eastAsia="宋体"/>
          <w:sz w:val="24"/>
        </w:rPr>
        <w:t>软件采用无阻塞多速率调度。1 kHz中断完成系统时基和编码器增量采样；200 Hz任务运行轮速环、循迹外环、球杆状态预测及舵机输出；50 Hz视觉数据到达后执行观测更新；100 Hz任务维护模式状态机和显示。所有控制量均带时间戳，避免把过期图像作为当前测量。主程序流程如图2所示。</w:t>
      </w:r>
    </w:p>
    <w:p w14:paraId="6AF1139D">
      <w:pPr>
        <w:keepNext/>
        <w:spacing w:line="240" w:lineRule="auto"/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2966720"/>
            <wp:effectExtent l="0" t="0" r="1905" b="5080"/>
            <wp:docPr id="3" name="图片 3" descr="w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wq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671DD">
      <w:pPr>
        <w:widowControl/>
        <w:spacing w:before="0" w:after="0" w:line="360" w:lineRule="exact"/>
        <w:ind w:firstLine="0"/>
        <w:jc w:val="center"/>
      </w:pPr>
      <w:r>
        <w:rPr>
          <w:rFonts w:ascii="Times New Roman" w:hAnsi="Times New Roman" w:eastAsia="宋体"/>
          <w:b w:val="0"/>
          <w:sz w:val="21"/>
        </w:rPr>
        <w:t>图2 主程序与多速率控制流程</w:t>
      </w:r>
    </w:p>
    <w:p w14:paraId="3D7138E2">
      <w:pPr>
        <w:widowControl/>
        <w:spacing w:before="0" w:after="0" w:line="440" w:lineRule="exact"/>
        <w:ind w:firstLine="420"/>
        <w:jc w:val="both"/>
      </w:pPr>
      <w:r>
        <w:rPr>
          <w:rFonts w:ascii="Times New Roman" w:hAnsi="Times New Roman" w:eastAsia="宋体"/>
          <w:sz w:val="24"/>
        </w:rPr>
        <w:t>任务2在一圈里程门限后允许识别A点启停线并执行制动；任务3按“到+5 cm-判稳-转向-到-5 cm-保持”推进；任务4只记录通过B点前的运行状态；任务5和任务6在再次通过A点时锁存总时间，但球杆控制继续运行，避免测试终点突然制动造成超差。显示屏持续显示模式、目标位置、当前球位和计时值，启动按键沿同时清零计时器和里程。</w:t>
      </w:r>
    </w:p>
    <w:p w14:paraId="64637F68">
      <w:pPr>
        <w:pStyle w:val="3"/>
        <w:keepNext/>
      </w:pPr>
      <w:bookmarkStart w:id="13" w:name="_Toc14813"/>
      <w:r>
        <w:rPr>
          <w:rFonts w:ascii="Times New Roman" w:hAnsi="Times New Roman" w:eastAsia="宋体"/>
          <w:b/>
          <w:sz w:val="24"/>
        </w:rPr>
        <w:t>3、标定、限幅与故障处理</w:t>
      </w:r>
      <w:bookmarkEnd w:id="13"/>
      <w:bookmarkStart w:id="21" w:name="_GoBack"/>
      <w:bookmarkEnd w:id="21"/>
    </w:p>
    <w:p w14:paraId="011F2012">
      <w:pPr>
        <w:widowControl/>
        <w:spacing w:before="0" w:after="0" w:line="440" w:lineRule="exact"/>
        <w:ind w:firstLine="420"/>
        <w:jc w:val="both"/>
      </w:pPr>
      <w:r>
        <w:rPr>
          <w:rFonts w:ascii="Times New Roman" w:hAnsi="Times New Roman" w:eastAsia="宋体"/>
          <w:sz w:val="24"/>
        </w:rPr>
        <w:t>装调依次完成红外零点、左右轮速比例、摆杆水平角、视觉像素比例和启停线制动距离标定。若视觉置信度低、钢球越过±11 cm软边界、主电池欠压或串口超时，系统立即降低车速，摆杆回到安全角；严重故障时停止电机但保持图传和显示，便于复盘。调参顺序为先闭合轮速环和循迹环，再在静止小车上调球杆PD，最后加入小积分和加速度前馈，避免多个环路同时变化造成误判。</w:t>
      </w:r>
    </w:p>
    <w:p w14:paraId="19435C33">
      <w:pPr>
        <w:pStyle w:val="2"/>
        <w:keepNext/>
      </w:pPr>
      <w:bookmarkStart w:id="14" w:name="_Toc294"/>
      <w:r>
        <w:rPr>
          <w:rFonts w:ascii="Times New Roman" w:hAnsi="Times New Roman" w:eastAsia="宋体"/>
          <w:b/>
          <w:sz w:val="28"/>
        </w:rPr>
        <w:t>四、测试方案与测试结果</w:t>
      </w:r>
      <w:bookmarkEnd w:id="14"/>
    </w:p>
    <w:p w14:paraId="06D63574">
      <w:pPr>
        <w:pStyle w:val="3"/>
        <w:keepNext/>
      </w:pPr>
      <w:bookmarkStart w:id="15" w:name="_Toc9147"/>
      <w:r>
        <w:rPr>
          <w:rFonts w:ascii="Times New Roman" w:hAnsi="Times New Roman" w:eastAsia="宋体"/>
          <w:b/>
          <w:sz w:val="24"/>
        </w:rPr>
        <w:t>1、测试条件与仪器</w:t>
      </w:r>
      <w:bookmarkEnd w:id="15"/>
    </w:p>
    <w:p w14:paraId="0AECD927">
      <w:pPr>
        <w:widowControl/>
        <w:spacing w:before="0" w:after="0" w:line="440" w:lineRule="exact"/>
        <w:ind w:firstLine="420"/>
        <w:jc w:val="both"/>
      </w:pPr>
      <w:r>
        <w:rPr>
          <w:rFonts w:ascii="Times New Roman" w:hAnsi="Times New Roman" w:eastAsia="宋体"/>
          <w:sz w:val="24"/>
        </w:rPr>
        <w:t>测试前核对车身外廓不超过35 cm×25 cm、摆杆不超出车身、25 cm PPR管内壁保持原状且整车由车载电池供电。测试场地按题图制作：黑线宽1.8±0.2 cm，AB、CD直线段各1.5 m，BC、DA为半径0.5 m的半圆。直尺测量停车偏差，秒表与车载计时交叉校验；图传接收端置于环形线路外，电脑检查画面连续性、录像文件和回放。每项至少连续测试5次；更换电池或调整机构后重新标定，不选择性删除失败数据。</w:t>
      </w:r>
    </w:p>
    <w:p w14:paraId="4D29D3E9">
      <w:pPr>
        <w:pStyle w:val="3"/>
        <w:keepNext/>
      </w:pPr>
      <w:bookmarkStart w:id="16" w:name="_Toc27489"/>
      <w:r>
        <w:rPr>
          <w:rFonts w:ascii="Times New Roman" w:hAnsi="Times New Roman" w:eastAsia="宋体"/>
          <w:b/>
          <w:sz w:val="24"/>
        </w:rPr>
        <w:t>2、测试步骤与数据处理</w:t>
      </w:r>
      <w:bookmarkEnd w:id="16"/>
    </w:p>
    <w:p w14:paraId="1B159FEC">
      <w:pPr>
        <w:widowControl/>
        <w:spacing w:before="0" w:after="0" w:line="440" w:lineRule="exact"/>
        <w:ind w:firstLine="420"/>
        <w:jc w:val="both"/>
      </w:pPr>
      <w:r>
        <w:rPr>
          <w:rFonts w:ascii="Times New Roman" w:hAnsi="Times New Roman" w:eastAsia="宋体"/>
          <w:sz w:val="24"/>
        </w:rPr>
        <w:t>先静态验证相机覆盖、坐标正负方向和摆杆水平零点，再分别闭合循迹和球杆控制，最后进行整车联调。位置最大误差取整段视频中|max(x-xr)|的最大值；停车偏差按小车指定测试点到A点停车基准线的绝对距离记录；时间从启动按键有效沿开始，到对应过点或停车事件结束。表中给出5次独立试验记录栏，并同时计算最大值与平均值。</w:t>
      </w:r>
    </w:p>
    <w:p w14:paraId="6DC8FD86">
      <w:pPr>
        <w:widowControl/>
        <w:spacing w:before="0" w:after="0" w:line="440" w:lineRule="exact"/>
        <w:ind w:firstLine="0"/>
        <w:jc w:val="both"/>
      </w:pPr>
      <w:r>
        <w:rPr>
          <w:rFonts w:ascii="Times New Roman" w:hAnsi="Times New Roman" w:eastAsia="宋体"/>
          <w:b/>
          <w:color w:val="C00000"/>
          <w:sz w:val="21"/>
        </w:rPr>
        <w:t>数据说明：当前未提供实物测试记录，以下“待实测”必须在提交前替换为原始测量值，并据此更新摘要与结论。</w:t>
      </w:r>
    </w:p>
    <w:p w14:paraId="46CD7021">
      <w:pPr>
        <w:keepNext/>
        <w:spacing w:before="40" w:after="20"/>
      </w:pPr>
      <w:r>
        <w:rPr>
          <w:rFonts w:ascii="Times New Roman" w:hAnsi="Times New Roman" w:eastAsia="宋体"/>
          <w:b/>
          <w:sz w:val="18"/>
        </w:rPr>
        <w:t>表B-1 图传装置测试结果</w:t>
      </w:r>
    </w:p>
    <w:tbl>
      <w:tblPr>
        <w:tblStyle w:val="11"/>
        <w:tblW w:w="81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0"/>
        <w:gridCol w:w="1150"/>
        <w:gridCol w:w="1150"/>
        <w:gridCol w:w="1150"/>
        <w:gridCol w:w="1150"/>
        <w:gridCol w:w="1150"/>
      </w:tblGrid>
      <w:tr w14:paraId="0D76A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50" w:type="dxa"/>
            <w:shd w:val="clear" w:color="auto" w:fill="D9E1F2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EFAE0AC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w="1150" w:type="dxa"/>
            <w:shd w:val="clear" w:color="auto" w:fill="D9E1F2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28650C7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1</w:t>
            </w:r>
          </w:p>
        </w:tc>
        <w:tc>
          <w:tcPr>
            <w:tcW w:w="1150" w:type="dxa"/>
            <w:shd w:val="clear" w:color="auto" w:fill="D9E1F2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3D2F206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2</w:t>
            </w:r>
          </w:p>
        </w:tc>
        <w:tc>
          <w:tcPr>
            <w:tcW w:w="1150" w:type="dxa"/>
            <w:shd w:val="clear" w:color="auto" w:fill="D9E1F2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A4240BB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3</w:t>
            </w:r>
          </w:p>
        </w:tc>
        <w:tc>
          <w:tcPr>
            <w:tcW w:w="1150" w:type="dxa"/>
            <w:shd w:val="clear" w:color="auto" w:fill="D9E1F2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1A2A20B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4</w:t>
            </w:r>
          </w:p>
        </w:tc>
        <w:tc>
          <w:tcPr>
            <w:tcW w:w="1150" w:type="dxa"/>
            <w:shd w:val="clear" w:color="auto" w:fill="D9E1F2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894F180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5</w:t>
            </w:r>
          </w:p>
        </w:tc>
      </w:tr>
      <w:tr w14:paraId="7F5FF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7F3B708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连续显示/录像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7629B1F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059E534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97CE43F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17E604A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A6EB387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</w:tr>
      <w:tr w14:paraId="0D850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05A5752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画面是否覆盖全摆杆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918CDA7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A8BB52A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B6EDA52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B724809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8B70FA1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</w:tr>
      <w:tr w14:paraId="22ECB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1894008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是否可完整回放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79E51D5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314FA9D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BB69B04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FEB3A95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E559B1B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</w:tr>
    </w:tbl>
    <w:p w14:paraId="5067D724">
      <w:pPr>
        <w:spacing w:before="20" w:after="0"/>
      </w:pPr>
    </w:p>
    <w:p w14:paraId="2212C1A0">
      <w:pPr>
        <w:keepNext/>
        <w:spacing w:before="40" w:after="20"/>
      </w:pPr>
      <w:r>
        <w:rPr>
          <w:rFonts w:ascii="Times New Roman" w:hAnsi="Times New Roman" w:eastAsia="宋体"/>
          <w:b/>
          <w:sz w:val="18"/>
        </w:rPr>
        <w:t>表B-2 循迹一圈及A点停车测试结果</w:t>
      </w:r>
    </w:p>
    <w:tbl>
      <w:tblPr>
        <w:tblStyle w:val="11"/>
        <w:tblW w:w="81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0"/>
        <w:gridCol w:w="1150"/>
        <w:gridCol w:w="1150"/>
        <w:gridCol w:w="1150"/>
        <w:gridCol w:w="1150"/>
        <w:gridCol w:w="1150"/>
      </w:tblGrid>
      <w:tr w14:paraId="26DFE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50" w:type="dxa"/>
            <w:shd w:val="clear" w:color="auto" w:fill="D9E1F2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66985D7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次数</w:t>
            </w:r>
          </w:p>
        </w:tc>
        <w:tc>
          <w:tcPr>
            <w:tcW w:w="1150" w:type="dxa"/>
            <w:shd w:val="clear" w:color="auto" w:fill="D9E1F2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B89BC72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1</w:t>
            </w:r>
          </w:p>
        </w:tc>
        <w:tc>
          <w:tcPr>
            <w:tcW w:w="1150" w:type="dxa"/>
            <w:shd w:val="clear" w:color="auto" w:fill="D9E1F2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277F451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2</w:t>
            </w:r>
          </w:p>
        </w:tc>
        <w:tc>
          <w:tcPr>
            <w:tcW w:w="1150" w:type="dxa"/>
            <w:shd w:val="clear" w:color="auto" w:fill="D9E1F2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C7E9E73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3</w:t>
            </w:r>
          </w:p>
        </w:tc>
        <w:tc>
          <w:tcPr>
            <w:tcW w:w="1150" w:type="dxa"/>
            <w:shd w:val="clear" w:color="auto" w:fill="D9E1F2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A1113AA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4</w:t>
            </w:r>
          </w:p>
        </w:tc>
        <w:tc>
          <w:tcPr>
            <w:tcW w:w="1150" w:type="dxa"/>
            <w:shd w:val="clear" w:color="auto" w:fill="D9E1F2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0D73688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5</w:t>
            </w:r>
          </w:p>
        </w:tc>
      </w:tr>
      <w:tr w14:paraId="45260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09B3B91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总时间/s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840172A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828B7F3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7C6E11A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2505968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3B4F630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</w:tr>
      <w:tr w14:paraId="5A72F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001CEC9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停车偏差/cm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3DE02E4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510606D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635B2A9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2C952F6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6BFE7F6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</w:tr>
    </w:tbl>
    <w:p w14:paraId="7A2DCB32">
      <w:pPr>
        <w:spacing w:before="20" w:after="0"/>
      </w:pPr>
    </w:p>
    <w:p w14:paraId="5AB26EDF">
      <w:pPr>
        <w:keepNext/>
        <w:spacing w:before="40" w:after="20"/>
      </w:pPr>
      <w:r>
        <w:rPr>
          <w:rFonts w:ascii="Times New Roman" w:hAnsi="Times New Roman" w:eastAsia="宋体"/>
          <w:b/>
          <w:sz w:val="18"/>
        </w:rPr>
        <w:t>表B-3 静态O→+5 cm→-5 cm测试结果</w:t>
      </w:r>
    </w:p>
    <w:tbl>
      <w:tblPr>
        <w:tblStyle w:val="11"/>
        <w:tblW w:w="81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0"/>
        <w:gridCol w:w="1150"/>
        <w:gridCol w:w="1150"/>
        <w:gridCol w:w="1150"/>
        <w:gridCol w:w="1150"/>
        <w:gridCol w:w="1150"/>
      </w:tblGrid>
      <w:tr w14:paraId="4B673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50" w:type="dxa"/>
            <w:shd w:val="clear" w:color="auto" w:fill="D9E1F2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888C4ED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次数</w:t>
            </w:r>
          </w:p>
        </w:tc>
        <w:tc>
          <w:tcPr>
            <w:tcW w:w="1150" w:type="dxa"/>
            <w:shd w:val="clear" w:color="auto" w:fill="D9E1F2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E32CA3E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1</w:t>
            </w:r>
          </w:p>
        </w:tc>
        <w:tc>
          <w:tcPr>
            <w:tcW w:w="1150" w:type="dxa"/>
            <w:shd w:val="clear" w:color="auto" w:fill="D9E1F2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DBB4482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2</w:t>
            </w:r>
          </w:p>
        </w:tc>
        <w:tc>
          <w:tcPr>
            <w:tcW w:w="1150" w:type="dxa"/>
            <w:shd w:val="clear" w:color="auto" w:fill="D9E1F2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FB35E5C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3</w:t>
            </w:r>
          </w:p>
        </w:tc>
        <w:tc>
          <w:tcPr>
            <w:tcW w:w="1150" w:type="dxa"/>
            <w:shd w:val="clear" w:color="auto" w:fill="D9E1F2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6C386B9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4</w:t>
            </w:r>
          </w:p>
        </w:tc>
        <w:tc>
          <w:tcPr>
            <w:tcW w:w="1150" w:type="dxa"/>
            <w:shd w:val="clear" w:color="auto" w:fill="D9E1F2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CB77F81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5</w:t>
            </w:r>
          </w:p>
        </w:tc>
      </w:tr>
      <w:tr w14:paraId="5480D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CAC45B9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运行时间/s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C674C34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0902758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68C1001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FB16AB1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10E1D20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</w:tr>
      <w:tr w14:paraId="2EA82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9DF0C38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+5 cm最大误差/cm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503C6C8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58DB149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B4F8AED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77DF34F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7964CC2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</w:tr>
      <w:tr w14:paraId="73931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5D8426F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-5 cm最大误差/cm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0482A53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E0BE0A4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B3407E2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39EEF9E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E63FC5F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</w:tr>
    </w:tbl>
    <w:p w14:paraId="1EFC8EF7">
      <w:pPr>
        <w:spacing w:before="20" w:after="0"/>
      </w:pPr>
    </w:p>
    <w:p w14:paraId="084D4313">
      <w:pPr>
        <w:keepNext/>
        <w:spacing w:before="40" w:after="20"/>
      </w:pPr>
      <w:r>
        <w:rPr>
          <w:rFonts w:ascii="Times New Roman" w:hAnsi="Times New Roman" w:eastAsia="宋体"/>
          <w:b/>
          <w:sz w:val="18"/>
        </w:rPr>
        <w:t>表B-4 A-B段动态中心稳定测试结果</w:t>
      </w:r>
    </w:p>
    <w:tbl>
      <w:tblPr>
        <w:tblStyle w:val="11"/>
        <w:tblW w:w="81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0"/>
        <w:gridCol w:w="1150"/>
        <w:gridCol w:w="1150"/>
        <w:gridCol w:w="1150"/>
        <w:gridCol w:w="1150"/>
        <w:gridCol w:w="1150"/>
      </w:tblGrid>
      <w:tr w14:paraId="565A9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50" w:type="dxa"/>
            <w:shd w:val="clear" w:color="auto" w:fill="D9E1F2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7E7C216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次数</w:t>
            </w:r>
          </w:p>
        </w:tc>
        <w:tc>
          <w:tcPr>
            <w:tcW w:w="1150" w:type="dxa"/>
            <w:shd w:val="clear" w:color="auto" w:fill="D9E1F2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1663108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1</w:t>
            </w:r>
          </w:p>
        </w:tc>
        <w:tc>
          <w:tcPr>
            <w:tcW w:w="1150" w:type="dxa"/>
            <w:shd w:val="clear" w:color="auto" w:fill="D9E1F2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81EF921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2</w:t>
            </w:r>
          </w:p>
        </w:tc>
        <w:tc>
          <w:tcPr>
            <w:tcW w:w="1150" w:type="dxa"/>
            <w:shd w:val="clear" w:color="auto" w:fill="D9E1F2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D74719B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3</w:t>
            </w:r>
          </w:p>
        </w:tc>
        <w:tc>
          <w:tcPr>
            <w:tcW w:w="1150" w:type="dxa"/>
            <w:shd w:val="clear" w:color="auto" w:fill="D9E1F2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27433A3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4</w:t>
            </w:r>
          </w:p>
        </w:tc>
        <w:tc>
          <w:tcPr>
            <w:tcW w:w="1150" w:type="dxa"/>
            <w:shd w:val="clear" w:color="auto" w:fill="D9E1F2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80656F9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5</w:t>
            </w:r>
          </w:p>
        </w:tc>
      </w:tr>
      <w:tr w14:paraId="277FA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8CED6A5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AB时间/s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B147B52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1D296D2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75C748D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DA574E4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E3CF2CF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</w:tr>
      <w:tr w14:paraId="2866A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B84F46A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中心最大误差/cm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44C5A8E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C0D8BA3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649BC0C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1BF9878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2FDE2E3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</w:tr>
    </w:tbl>
    <w:p w14:paraId="69C190D3">
      <w:pPr>
        <w:spacing w:before="20" w:after="0"/>
      </w:pPr>
    </w:p>
    <w:p w14:paraId="20EC44A1">
      <w:pPr>
        <w:keepNext/>
        <w:spacing w:before="40" w:after="20"/>
      </w:pPr>
      <w:r>
        <w:rPr>
          <w:rFonts w:ascii="Times New Roman" w:hAnsi="Times New Roman" w:eastAsia="宋体"/>
          <w:b/>
          <w:sz w:val="18"/>
        </w:rPr>
        <w:t>表B-5 一圈动态中心稳定测试结果</w:t>
      </w:r>
    </w:p>
    <w:tbl>
      <w:tblPr>
        <w:tblStyle w:val="11"/>
        <w:tblW w:w="81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0"/>
        <w:gridCol w:w="1150"/>
        <w:gridCol w:w="1150"/>
        <w:gridCol w:w="1150"/>
        <w:gridCol w:w="1150"/>
        <w:gridCol w:w="1150"/>
      </w:tblGrid>
      <w:tr w14:paraId="669AC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50" w:type="dxa"/>
            <w:shd w:val="clear" w:color="auto" w:fill="D9E1F2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FCBC43F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次数</w:t>
            </w:r>
          </w:p>
        </w:tc>
        <w:tc>
          <w:tcPr>
            <w:tcW w:w="1150" w:type="dxa"/>
            <w:shd w:val="clear" w:color="auto" w:fill="D9E1F2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99387A9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1</w:t>
            </w:r>
          </w:p>
        </w:tc>
        <w:tc>
          <w:tcPr>
            <w:tcW w:w="1150" w:type="dxa"/>
            <w:shd w:val="clear" w:color="auto" w:fill="D9E1F2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5372544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2</w:t>
            </w:r>
          </w:p>
        </w:tc>
        <w:tc>
          <w:tcPr>
            <w:tcW w:w="1150" w:type="dxa"/>
            <w:shd w:val="clear" w:color="auto" w:fill="D9E1F2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672E480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3</w:t>
            </w:r>
          </w:p>
        </w:tc>
        <w:tc>
          <w:tcPr>
            <w:tcW w:w="1150" w:type="dxa"/>
            <w:shd w:val="clear" w:color="auto" w:fill="D9E1F2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7CD3E5E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4</w:t>
            </w:r>
          </w:p>
        </w:tc>
        <w:tc>
          <w:tcPr>
            <w:tcW w:w="1150" w:type="dxa"/>
            <w:shd w:val="clear" w:color="auto" w:fill="D9E1F2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86B6F4F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5</w:t>
            </w:r>
          </w:p>
        </w:tc>
      </w:tr>
      <w:tr w14:paraId="20C5D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E9D9FC3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整圈时间/s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0E5ED26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64F55DA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DCE97E3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07779CD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446FE40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</w:tr>
      <w:tr w14:paraId="400DA8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659D421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中心最大误差/cm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6636FFC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EB3942B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650A466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57D012D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1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11F3BC6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</w:tr>
    </w:tbl>
    <w:p w14:paraId="5F1035D5">
      <w:pPr>
        <w:spacing w:before="20" w:after="0"/>
      </w:pPr>
    </w:p>
    <w:p w14:paraId="73044244">
      <w:pPr>
        <w:keepNext/>
        <w:spacing w:before="40" w:after="20"/>
      </w:pPr>
      <w:r>
        <w:rPr>
          <w:rFonts w:ascii="Times New Roman" w:hAnsi="Times New Roman" w:eastAsia="宋体"/>
          <w:b/>
          <w:sz w:val="18"/>
        </w:rPr>
        <w:t>表B-6 一圈任意指定位置稳定测试结果</w:t>
      </w:r>
    </w:p>
    <w:tbl>
      <w:tblPr>
        <w:tblStyle w:val="11"/>
        <w:tblW w:w="81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0"/>
        <w:gridCol w:w="950"/>
        <w:gridCol w:w="1900"/>
        <w:gridCol w:w="1900"/>
        <w:gridCol w:w="1600"/>
      </w:tblGrid>
      <w:tr w14:paraId="681E8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50" w:type="dxa"/>
            <w:shd w:val="clear" w:color="auto" w:fill="D9E1F2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6BC144B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目标位置</w:t>
            </w:r>
          </w:p>
        </w:tc>
        <w:tc>
          <w:tcPr>
            <w:tcW w:w="950" w:type="dxa"/>
            <w:shd w:val="clear" w:color="auto" w:fill="D9E1F2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BFECB8B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次数</w:t>
            </w:r>
          </w:p>
        </w:tc>
        <w:tc>
          <w:tcPr>
            <w:tcW w:w="1900" w:type="dxa"/>
            <w:shd w:val="clear" w:color="auto" w:fill="D9E1F2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6E74DBF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整圈时间/s</w:t>
            </w:r>
          </w:p>
        </w:tc>
        <w:tc>
          <w:tcPr>
            <w:tcW w:w="1900" w:type="dxa"/>
            <w:shd w:val="clear" w:color="auto" w:fill="D9E1F2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FAA5631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最大误差/cm</w:t>
            </w:r>
          </w:p>
        </w:tc>
        <w:tc>
          <w:tcPr>
            <w:tcW w:w="1600" w:type="dxa"/>
            <w:shd w:val="clear" w:color="auto" w:fill="D9E1F2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7755F27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是否脱轨</w:t>
            </w:r>
          </w:p>
        </w:tc>
      </w:tr>
      <w:tr w14:paraId="1B494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96D33A5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9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9D55BE4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w="1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5525F15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CE55089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F546310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</w:tr>
      <w:tr w14:paraId="1376A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7AC900B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9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F3BD924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w="1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5D4871B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EC4116C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1E557526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</w:tr>
      <w:tr w14:paraId="22E18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770217C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9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B0F727A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w="1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A5B42C2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854844B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6B48B8B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</w:tr>
      <w:tr w14:paraId="0078C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FCB0F5B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9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335010A8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w="1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CC84265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32CEE8A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9386774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</w:tr>
      <w:tr w14:paraId="12AD8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681C0DF8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95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72563076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w="1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C8448C1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9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AC53F95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  <w:tc>
          <w:tcPr>
            <w:tcW w:w="1600" w:type="dxa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411CB6A6">
            <w:pPr>
              <w:spacing w:before="0" w:after="0" w:line="260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C00000"/>
                <w:sz w:val="18"/>
              </w:rPr>
              <w:t>待实测</w:t>
            </w:r>
          </w:p>
        </w:tc>
      </w:tr>
    </w:tbl>
    <w:p w14:paraId="6930C954">
      <w:pPr>
        <w:spacing w:before="20" w:after="0"/>
      </w:pPr>
    </w:p>
    <w:p w14:paraId="4F2DA80C">
      <w:pPr>
        <w:pStyle w:val="3"/>
        <w:keepNext/>
      </w:pPr>
      <w:bookmarkStart w:id="17" w:name="_Toc31791"/>
      <w:r>
        <w:rPr>
          <w:rFonts w:ascii="Times New Roman" w:hAnsi="Times New Roman" w:eastAsia="宋体"/>
          <w:b/>
          <w:sz w:val="24"/>
        </w:rPr>
        <w:t>3、判定方法与误差分析</w:t>
      </w:r>
      <w:bookmarkEnd w:id="17"/>
    </w:p>
    <w:p w14:paraId="2A33F7FB">
      <w:pPr>
        <w:widowControl/>
        <w:spacing w:before="0" w:after="0" w:line="440" w:lineRule="exact"/>
        <w:ind w:firstLine="420"/>
        <w:jc w:val="both"/>
      </w:pPr>
      <w:r>
        <w:rPr>
          <w:rFonts w:ascii="Times New Roman" w:hAnsi="Times New Roman" w:eastAsia="宋体"/>
          <w:sz w:val="24"/>
        </w:rPr>
        <w:t>任务2以5次总时间的最大值不超过20 s、停车偏差最大值不超过2 cm为通过；任务3同时检查运行时间、+5 cm与-5 cm两处最大误差；任务4至任务6按相应时间上限和1 cm位置误差上限逐次判定。若某次投影完全脱离轨迹线，应保留该次记录并标为失败。误差主要来自钢球高光导致的质心偏差、摄像头透视残差、图像采样延迟、舵机回差、轮胎打滑和电池电压变化。可通过固定曝光、在线置信度筛选、同向逼近消除回差、弯道限速及电压补偿减小影响。</w:t>
      </w:r>
    </w:p>
    <w:p w14:paraId="28885EA5">
      <w:pPr>
        <w:pStyle w:val="2"/>
        <w:keepNext/>
      </w:pPr>
      <w:bookmarkStart w:id="18" w:name="_Toc28848"/>
      <w:r>
        <w:rPr>
          <w:rFonts w:ascii="Times New Roman" w:hAnsi="Times New Roman" w:eastAsia="宋体"/>
          <w:b/>
          <w:sz w:val="28"/>
        </w:rPr>
        <w:t>五、结论与改进</w:t>
      </w:r>
      <w:bookmarkEnd w:id="18"/>
    </w:p>
    <w:p w14:paraId="60A888DB">
      <w:pPr>
        <w:widowControl/>
        <w:spacing w:before="0" w:after="0" w:line="440" w:lineRule="exact"/>
        <w:ind w:firstLine="420"/>
        <w:jc w:val="both"/>
      </w:pPr>
      <w:r>
        <w:rPr>
          <w:rFonts w:ascii="Times New Roman" w:hAnsi="Times New Roman" w:eastAsia="宋体"/>
          <w:sz w:val="24"/>
        </w:rPr>
        <w:t>本设计围绕H题评分项完成了循迹底盘、球位视觉检测、球杆动力学建模、双闭环抗扰控制、图传记录和测试判据的系统化设计。方案利用球杆纵向布置减小弯道横向加速度耦合，利用位置-速度反馈保证双积分对象稳定，并通过纵向加速度前馈降低起步与制动扰动；分段速度和终点预减速兼顾运行时间与停车精度。最终性能应以表B-1至表B-6的原始实测数据为准。若动态误差仍接近1 cm上限，可进一步提高视觉帧率，采用带时延补偿的状态反馈，并依据直线、弯道、加速和减速阶段进行增益调度。</w:t>
      </w:r>
    </w:p>
    <w:p w14:paraId="1D9CF29D">
      <w:pPr>
        <w:pStyle w:val="2"/>
        <w:keepNext/>
      </w:pPr>
      <w:bookmarkStart w:id="19" w:name="_Toc17375"/>
      <w:r>
        <w:rPr>
          <w:rFonts w:ascii="Times New Roman" w:hAnsi="Times New Roman" w:eastAsia="宋体"/>
          <w:b/>
          <w:sz w:val="28"/>
        </w:rPr>
        <w:t>六、参考文献</w:t>
      </w:r>
      <w:bookmarkEnd w:id="19"/>
    </w:p>
    <w:p w14:paraId="63723DD2">
      <w:pPr>
        <w:widowControl/>
        <w:spacing w:before="0" w:after="0" w:line="360" w:lineRule="exact"/>
        <w:ind w:firstLine="0"/>
        <w:jc w:val="both"/>
      </w:pPr>
      <w:r>
        <w:rPr>
          <w:rFonts w:ascii="Times New Roman" w:hAnsi="Times New Roman" w:eastAsia="宋体"/>
          <w:sz w:val="21"/>
        </w:rPr>
        <w:t>[1] 2026年全国大学生电子设计竞赛组委会. 车载平衡滚球运动控制系统（H题）[Z]. 2026.</w:t>
      </w:r>
    </w:p>
    <w:p w14:paraId="71B8E491">
      <w:pPr>
        <w:widowControl/>
        <w:spacing w:before="0" w:after="0" w:line="360" w:lineRule="exact"/>
        <w:ind w:firstLine="0"/>
        <w:jc w:val="both"/>
      </w:pPr>
      <w:r>
        <w:rPr>
          <w:rFonts w:ascii="Times New Roman" w:hAnsi="Times New Roman" w:eastAsia="宋体"/>
          <w:sz w:val="21"/>
        </w:rPr>
        <w:t>[2] 胡寿松. 自动控制原理[M]. 北京: 科学出版社.</w:t>
      </w:r>
    </w:p>
    <w:p w14:paraId="65EE63C2">
      <w:pPr>
        <w:widowControl/>
        <w:spacing w:before="0" w:after="0" w:line="360" w:lineRule="exact"/>
        <w:ind w:firstLine="0"/>
        <w:jc w:val="both"/>
      </w:pPr>
      <w:r>
        <w:rPr>
          <w:rFonts w:ascii="Times New Roman" w:hAnsi="Times New Roman" w:eastAsia="宋体"/>
          <w:sz w:val="21"/>
        </w:rPr>
        <w:t>[3] 刘金琨. 先进PID控制及其MATLAB仿真[M]. 北京: 电子工业出版社.</w:t>
      </w:r>
    </w:p>
    <w:p w14:paraId="491BCFDE">
      <w:pPr>
        <w:widowControl/>
        <w:spacing w:before="0" w:after="0" w:line="360" w:lineRule="exact"/>
        <w:ind w:firstLine="0"/>
        <w:jc w:val="both"/>
      </w:pPr>
      <w:r>
        <w:rPr>
          <w:rFonts w:ascii="Times New Roman" w:hAnsi="Times New Roman" w:eastAsia="宋体"/>
          <w:sz w:val="21"/>
        </w:rPr>
        <w:t>[4] 王福瑞. 单片微机测控系统设计大全[M]. 北京: 北京航空航天大学出版社.</w:t>
      </w:r>
    </w:p>
    <w:p w14:paraId="68F4D737">
      <w:pPr>
        <w:widowControl/>
        <w:spacing w:before="0" w:after="0" w:line="360" w:lineRule="exact"/>
        <w:ind w:firstLine="0"/>
        <w:jc w:val="both"/>
      </w:pPr>
      <w:r>
        <w:rPr>
          <w:rFonts w:ascii="Times New Roman" w:hAnsi="Times New Roman" w:eastAsia="宋体"/>
          <w:sz w:val="21"/>
        </w:rPr>
        <w:t>[5] Texas Instruments. MSPM0G350x Mixed-Signal Microcontrollers Data Sheet[EB/OL].</w:t>
      </w:r>
    </w:p>
    <w:p w14:paraId="0118BBD9">
      <w:pPr>
        <w:widowControl/>
        <w:spacing w:before="0" w:after="0" w:line="360" w:lineRule="exact"/>
        <w:ind w:firstLine="0"/>
        <w:jc w:val="both"/>
      </w:pPr>
      <w:r>
        <w:rPr>
          <w:rFonts w:ascii="Times New Roman" w:hAnsi="Times New Roman" w:eastAsia="宋体"/>
          <w:sz w:val="21"/>
        </w:rPr>
        <w:t>[6] OpenMV. Machine Vision Module Documentation[EB/OL].</w:t>
      </w:r>
    </w:p>
    <w:p w14:paraId="651CC720">
      <w:pPr>
        <w:pStyle w:val="2"/>
        <w:keepNext/>
      </w:pPr>
      <w:bookmarkStart w:id="20" w:name="_Toc2032"/>
      <w:r>
        <w:rPr>
          <w:rFonts w:ascii="Times New Roman" w:hAnsi="Times New Roman" w:eastAsia="宋体"/>
          <w:b/>
          <w:sz w:val="28"/>
        </w:rPr>
        <w:t>附录：核心控制伪代码</w:t>
      </w:r>
      <w:bookmarkEnd w:id="20"/>
    </w:p>
    <w:p w14:paraId="21E27D86">
      <w:pPr>
        <w:widowControl/>
        <w:spacing w:before="0" w:after="0" w:line="300" w:lineRule="exact"/>
        <w:ind w:left="320" w:firstLine="0"/>
        <w:jc w:val="both"/>
      </w:pPr>
      <w:r>
        <w:rPr>
          <w:rFonts w:ascii="Consolas" w:hAnsi="Consolas" w:eastAsia="宋体"/>
          <w:sz w:val="18"/>
        </w:rPr>
        <w:t>每1 ms: 更新系统时基与编码器计数</w:t>
      </w:r>
    </w:p>
    <w:p w14:paraId="636CB804">
      <w:pPr>
        <w:widowControl/>
        <w:spacing w:before="0" w:after="0" w:line="300" w:lineRule="exact"/>
        <w:ind w:left="320" w:firstLine="0"/>
        <w:jc w:val="both"/>
      </w:pPr>
      <w:r>
        <w:rPr>
          <w:rFonts w:ascii="Consolas" w:hAnsi="Consolas" w:eastAsia="宋体"/>
          <w:sz w:val="18"/>
        </w:rPr>
        <w:t>每5 ms: 计算轮速PID、循迹PID和球杆预测状态</w:t>
      </w:r>
    </w:p>
    <w:p w14:paraId="3E6C6ACF">
      <w:pPr>
        <w:widowControl/>
        <w:spacing w:before="0" w:after="0" w:line="300" w:lineRule="exact"/>
        <w:ind w:left="320" w:firstLine="0"/>
        <w:jc w:val="both"/>
      </w:pPr>
      <w:r>
        <w:rPr>
          <w:rFonts w:ascii="Consolas" w:hAnsi="Consolas" w:eastAsia="宋体"/>
          <w:sz w:val="18"/>
        </w:rPr>
        <w:t>若收到新视觉帧: 校验时间戳与置信度，更新α-β观测器</w:t>
      </w:r>
    </w:p>
    <w:p w14:paraId="389898AF">
      <w:pPr>
        <w:widowControl/>
        <w:spacing w:before="0" w:after="0" w:line="300" w:lineRule="exact"/>
        <w:ind w:left="320" w:firstLine="0"/>
        <w:jc w:val="both"/>
      </w:pPr>
      <w:r>
        <w:rPr>
          <w:rFonts w:ascii="Consolas" w:hAnsi="Consolas" w:eastAsia="宋体"/>
          <w:sz w:val="18"/>
        </w:rPr>
        <w:t>e = x - x_ref</w:t>
      </w:r>
    </w:p>
    <w:p w14:paraId="216801F0">
      <w:pPr>
        <w:widowControl/>
        <w:spacing w:before="0" w:after="0" w:line="300" w:lineRule="exact"/>
        <w:ind w:left="320" w:firstLine="0"/>
        <w:jc w:val="both"/>
      </w:pPr>
      <w:r>
        <w:rPr>
          <w:rFonts w:ascii="Consolas" w:hAnsi="Consolas" w:eastAsia="宋体"/>
          <w:sz w:val="18"/>
        </w:rPr>
        <w:t>theta_cmd = Kp*e + Kd*x_dot + Ki*integral - a_long/g</w:t>
      </w:r>
    </w:p>
    <w:p w14:paraId="27FA565E">
      <w:pPr>
        <w:widowControl/>
        <w:spacing w:before="0" w:after="0" w:line="300" w:lineRule="exact"/>
        <w:ind w:left="320" w:firstLine="0"/>
        <w:jc w:val="both"/>
      </w:pPr>
      <w:r>
        <w:rPr>
          <w:rFonts w:ascii="Consolas" w:hAnsi="Consolas" w:eastAsia="宋体"/>
          <w:sz w:val="18"/>
        </w:rPr>
        <w:t>theta_cmd = rate_limit(clamp(theta_cmd, -8 deg, +8 deg))</w:t>
      </w:r>
    </w:p>
    <w:p w14:paraId="201C8B26">
      <w:pPr>
        <w:widowControl/>
        <w:spacing w:before="0" w:after="0" w:line="300" w:lineRule="exact"/>
        <w:ind w:left="320" w:firstLine="0"/>
        <w:jc w:val="both"/>
      </w:pPr>
      <w:r>
        <w:rPr>
          <w:rFonts w:ascii="Consolas" w:hAnsi="Consolas" w:eastAsia="宋体"/>
          <w:sz w:val="18"/>
        </w:rPr>
        <w:t>若输出饱和或视觉连续丢帧: 冻结积分并进入安全策略</w:t>
      </w:r>
    </w:p>
    <w:p w14:paraId="0B7C4A4B">
      <w:pPr>
        <w:widowControl/>
        <w:spacing w:before="0" w:after="0" w:line="300" w:lineRule="exact"/>
        <w:ind w:left="320" w:firstLine="0"/>
        <w:jc w:val="both"/>
      </w:pPr>
      <w:r>
        <w:rPr>
          <w:rFonts w:ascii="Consolas" w:hAnsi="Consolas" w:eastAsia="宋体"/>
          <w:sz w:val="18"/>
        </w:rPr>
        <w:t>按任务状态机处理启停线、+5 cm到位、-5 cm稳定及A点过线</w:t>
      </w:r>
    </w:p>
    <w:sectPr>
      <w:headerReference r:id="rId9" w:type="default"/>
      <w:footerReference r:id="rId10" w:type="default"/>
      <w:pgSz w:w="11906" w:h="16838"/>
      <w:pgMar w:top="1871" w:right="1800" w:bottom="1440" w:left="1800" w:header="851" w:footer="992" w:gutter="0"/>
      <w:pgNumType w:fmt="decimal" w:start="1"/>
      <w:cols w:space="0" w:num="1"/>
      <w:docGrid w:type="lines" w:linePitch="314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AE5D2B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51E7C7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ECE094">
    <w:pPr>
      <w:spacing w:before="0" w:after="0"/>
      <w:jc w:val="right"/>
    </w:pPr>
    <w:r>
      <w:rPr>
        <w:rFonts w:ascii="Times New Roman" w:hAnsi="Times New Roman" w:eastAsia="宋体"/>
        <w:sz w:val="18"/>
      </w:rPr>
      <w:fldChar w:fldCharType="begin"/>
    </w:r>
    <w:r>
      <w:rPr>
        <w:rFonts w:ascii="Times New Roman" w:hAnsi="Times New Roman" w:eastAsia="宋体"/>
        <w:sz w:val="18"/>
      </w:rPr>
      <w:instrText xml:space="preserve"> PAGE </w:instrText>
    </w:r>
    <w:r>
      <w:rPr>
        <w:rFonts w:ascii="Times New Roman" w:hAnsi="Times New Roman" w:eastAsia="宋体"/>
        <w:sz w:val="18"/>
      </w:rPr>
      <w:fldChar w:fldCharType="separate"/>
    </w:r>
    <w:r>
      <w:rPr>
        <w:rFonts w:ascii="Times New Roman" w:hAnsi="Times New Roman" w:eastAsia="宋体"/>
        <w:sz w:val="18"/>
      </w:rPr>
      <w:t>1</w:t>
    </w:r>
    <w:r>
      <w:rPr>
        <w:rFonts w:ascii="Times New Roman" w:hAnsi="Times New Roman" w:eastAsia="宋体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E67676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C53184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00AB99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7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9E6359"/>
    <w:rsid w:val="00022920"/>
    <w:rsid w:val="00053A63"/>
    <w:rsid w:val="000A54D4"/>
    <w:rsid w:val="000C0AD6"/>
    <w:rsid w:val="00104E88"/>
    <w:rsid w:val="00116B79"/>
    <w:rsid w:val="00117262"/>
    <w:rsid w:val="00153591"/>
    <w:rsid w:val="00155106"/>
    <w:rsid w:val="001627CD"/>
    <w:rsid w:val="00181CA8"/>
    <w:rsid w:val="001C2617"/>
    <w:rsid w:val="002257C3"/>
    <w:rsid w:val="00255E12"/>
    <w:rsid w:val="002703A7"/>
    <w:rsid w:val="002929E7"/>
    <w:rsid w:val="002973B4"/>
    <w:rsid w:val="002A34D6"/>
    <w:rsid w:val="00311C74"/>
    <w:rsid w:val="00314F0F"/>
    <w:rsid w:val="003352BE"/>
    <w:rsid w:val="003566D1"/>
    <w:rsid w:val="0037662A"/>
    <w:rsid w:val="00381BD0"/>
    <w:rsid w:val="003D3969"/>
    <w:rsid w:val="003D6BAA"/>
    <w:rsid w:val="00417207"/>
    <w:rsid w:val="00433B14"/>
    <w:rsid w:val="004479C7"/>
    <w:rsid w:val="004707C7"/>
    <w:rsid w:val="004872C4"/>
    <w:rsid w:val="00494D02"/>
    <w:rsid w:val="004A0A0B"/>
    <w:rsid w:val="004A144F"/>
    <w:rsid w:val="004D62BA"/>
    <w:rsid w:val="004E58F5"/>
    <w:rsid w:val="005473BB"/>
    <w:rsid w:val="00563129"/>
    <w:rsid w:val="005709C3"/>
    <w:rsid w:val="00574871"/>
    <w:rsid w:val="00584F33"/>
    <w:rsid w:val="0059267C"/>
    <w:rsid w:val="005D7EFA"/>
    <w:rsid w:val="005E6F0D"/>
    <w:rsid w:val="00666322"/>
    <w:rsid w:val="00675D33"/>
    <w:rsid w:val="006C2F20"/>
    <w:rsid w:val="007541A8"/>
    <w:rsid w:val="007618D0"/>
    <w:rsid w:val="00764373"/>
    <w:rsid w:val="00767A71"/>
    <w:rsid w:val="007733F2"/>
    <w:rsid w:val="007B0BFD"/>
    <w:rsid w:val="007B4894"/>
    <w:rsid w:val="007B5F3B"/>
    <w:rsid w:val="007B79E9"/>
    <w:rsid w:val="007C1168"/>
    <w:rsid w:val="007C4E84"/>
    <w:rsid w:val="007C53B9"/>
    <w:rsid w:val="007C6ADF"/>
    <w:rsid w:val="007D2361"/>
    <w:rsid w:val="007D64C5"/>
    <w:rsid w:val="007E1173"/>
    <w:rsid w:val="007E4752"/>
    <w:rsid w:val="007E5F51"/>
    <w:rsid w:val="00807079"/>
    <w:rsid w:val="008125BD"/>
    <w:rsid w:val="00826E8E"/>
    <w:rsid w:val="008336BE"/>
    <w:rsid w:val="008431F9"/>
    <w:rsid w:val="00852FB3"/>
    <w:rsid w:val="00853149"/>
    <w:rsid w:val="008564D5"/>
    <w:rsid w:val="008572BF"/>
    <w:rsid w:val="008652F6"/>
    <w:rsid w:val="008A0B61"/>
    <w:rsid w:val="008A552D"/>
    <w:rsid w:val="008B4F62"/>
    <w:rsid w:val="008C3255"/>
    <w:rsid w:val="008D10FD"/>
    <w:rsid w:val="0092257C"/>
    <w:rsid w:val="0093398D"/>
    <w:rsid w:val="0094768E"/>
    <w:rsid w:val="009550C6"/>
    <w:rsid w:val="009751DF"/>
    <w:rsid w:val="00983759"/>
    <w:rsid w:val="00986670"/>
    <w:rsid w:val="0099241B"/>
    <w:rsid w:val="009A28EA"/>
    <w:rsid w:val="009B283B"/>
    <w:rsid w:val="009B738C"/>
    <w:rsid w:val="009D2BBF"/>
    <w:rsid w:val="00A627D7"/>
    <w:rsid w:val="00A758E3"/>
    <w:rsid w:val="00AA11FF"/>
    <w:rsid w:val="00AC0203"/>
    <w:rsid w:val="00B30378"/>
    <w:rsid w:val="00B3484C"/>
    <w:rsid w:val="00B463B5"/>
    <w:rsid w:val="00B52C2E"/>
    <w:rsid w:val="00B6060D"/>
    <w:rsid w:val="00B61EC3"/>
    <w:rsid w:val="00B620DF"/>
    <w:rsid w:val="00B62777"/>
    <w:rsid w:val="00B6654E"/>
    <w:rsid w:val="00B74726"/>
    <w:rsid w:val="00B85437"/>
    <w:rsid w:val="00BB2B0C"/>
    <w:rsid w:val="00BD2B89"/>
    <w:rsid w:val="00BE5BDF"/>
    <w:rsid w:val="00BF3217"/>
    <w:rsid w:val="00C13E7A"/>
    <w:rsid w:val="00C23FD2"/>
    <w:rsid w:val="00C25E3D"/>
    <w:rsid w:val="00C42E48"/>
    <w:rsid w:val="00C53F36"/>
    <w:rsid w:val="00C55052"/>
    <w:rsid w:val="00C74395"/>
    <w:rsid w:val="00C94D7A"/>
    <w:rsid w:val="00CA24DD"/>
    <w:rsid w:val="00CA539E"/>
    <w:rsid w:val="00CB4946"/>
    <w:rsid w:val="00CB5F93"/>
    <w:rsid w:val="00CC01F2"/>
    <w:rsid w:val="00CD78D6"/>
    <w:rsid w:val="00CE6166"/>
    <w:rsid w:val="00CF222B"/>
    <w:rsid w:val="00D04F99"/>
    <w:rsid w:val="00D20498"/>
    <w:rsid w:val="00D36D5F"/>
    <w:rsid w:val="00D46FCC"/>
    <w:rsid w:val="00D7067E"/>
    <w:rsid w:val="00D71CCA"/>
    <w:rsid w:val="00D972C1"/>
    <w:rsid w:val="00DE4103"/>
    <w:rsid w:val="00DF01D6"/>
    <w:rsid w:val="00E12B5E"/>
    <w:rsid w:val="00E138AF"/>
    <w:rsid w:val="00E21F37"/>
    <w:rsid w:val="00E44AC7"/>
    <w:rsid w:val="00EB2581"/>
    <w:rsid w:val="00EC7656"/>
    <w:rsid w:val="00EE284B"/>
    <w:rsid w:val="00EE56C7"/>
    <w:rsid w:val="00F32282"/>
    <w:rsid w:val="00F40C46"/>
    <w:rsid w:val="00F66259"/>
    <w:rsid w:val="00FB2DB8"/>
    <w:rsid w:val="00FB34A4"/>
    <w:rsid w:val="00FC0544"/>
    <w:rsid w:val="00FC0A4F"/>
    <w:rsid w:val="00FF6C6D"/>
    <w:rsid w:val="010279D9"/>
    <w:rsid w:val="021342EA"/>
    <w:rsid w:val="02276B22"/>
    <w:rsid w:val="03154647"/>
    <w:rsid w:val="03874A0F"/>
    <w:rsid w:val="039C4890"/>
    <w:rsid w:val="03A70522"/>
    <w:rsid w:val="045F1306"/>
    <w:rsid w:val="050E7391"/>
    <w:rsid w:val="05352358"/>
    <w:rsid w:val="053A0769"/>
    <w:rsid w:val="05DD53A1"/>
    <w:rsid w:val="065177D6"/>
    <w:rsid w:val="06825098"/>
    <w:rsid w:val="06B0346E"/>
    <w:rsid w:val="06D1248D"/>
    <w:rsid w:val="07114FC0"/>
    <w:rsid w:val="07540525"/>
    <w:rsid w:val="07571D14"/>
    <w:rsid w:val="076C5AF9"/>
    <w:rsid w:val="07A318E6"/>
    <w:rsid w:val="07F207ED"/>
    <w:rsid w:val="084719E9"/>
    <w:rsid w:val="08E47A16"/>
    <w:rsid w:val="09E20182"/>
    <w:rsid w:val="09E47660"/>
    <w:rsid w:val="0A77408A"/>
    <w:rsid w:val="0A937E75"/>
    <w:rsid w:val="0B88099C"/>
    <w:rsid w:val="0C5B26E5"/>
    <w:rsid w:val="0C6F5B86"/>
    <w:rsid w:val="0CDB058B"/>
    <w:rsid w:val="0D3104AA"/>
    <w:rsid w:val="0D9E0368"/>
    <w:rsid w:val="0E4A3E0F"/>
    <w:rsid w:val="0E70216E"/>
    <w:rsid w:val="0E713997"/>
    <w:rsid w:val="0F9F15DD"/>
    <w:rsid w:val="108701A4"/>
    <w:rsid w:val="109E6359"/>
    <w:rsid w:val="10A10185"/>
    <w:rsid w:val="11DB4231"/>
    <w:rsid w:val="11E93F48"/>
    <w:rsid w:val="11F95FCD"/>
    <w:rsid w:val="11FA7CA9"/>
    <w:rsid w:val="11FE4E24"/>
    <w:rsid w:val="12080FBA"/>
    <w:rsid w:val="126D7C22"/>
    <w:rsid w:val="133B4697"/>
    <w:rsid w:val="13B567D8"/>
    <w:rsid w:val="13F01088"/>
    <w:rsid w:val="14293EDD"/>
    <w:rsid w:val="149B12C4"/>
    <w:rsid w:val="15963663"/>
    <w:rsid w:val="16067E77"/>
    <w:rsid w:val="16187F14"/>
    <w:rsid w:val="16D3736F"/>
    <w:rsid w:val="17731E50"/>
    <w:rsid w:val="177728F3"/>
    <w:rsid w:val="19473285"/>
    <w:rsid w:val="19EE1D51"/>
    <w:rsid w:val="1A477BF2"/>
    <w:rsid w:val="1A9338A5"/>
    <w:rsid w:val="1B3530E9"/>
    <w:rsid w:val="1B372A38"/>
    <w:rsid w:val="1B6374D4"/>
    <w:rsid w:val="1BA2498B"/>
    <w:rsid w:val="1BA43042"/>
    <w:rsid w:val="1C16530B"/>
    <w:rsid w:val="1C99656B"/>
    <w:rsid w:val="1CA4563B"/>
    <w:rsid w:val="1CBC08B8"/>
    <w:rsid w:val="1D0C4698"/>
    <w:rsid w:val="1DDD33C7"/>
    <w:rsid w:val="1DFA1DBC"/>
    <w:rsid w:val="1E0F1018"/>
    <w:rsid w:val="1E707ECB"/>
    <w:rsid w:val="1FB04D07"/>
    <w:rsid w:val="206465C4"/>
    <w:rsid w:val="21E16D36"/>
    <w:rsid w:val="22095524"/>
    <w:rsid w:val="22BA1468"/>
    <w:rsid w:val="235B7F52"/>
    <w:rsid w:val="246F1DB3"/>
    <w:rsid w:val="259E2718"/>
    <w:rsid w:val="263B7B93"/>
    <w:rsid w:val="2674125F"/>
    <w:rsid w:val="277363A3"/>
    <w:rsid w:val="287947FF"/>
    <w:rsid w:val="29FB685B"/>
    <w:rsid w:val="2A9C523D"/>
    <w:rsid w:val="2AA8541D"/>
    <w:rsid w:val="2B05199B"/>
    <w:rsid w:val="2B2D415A"/>
    <w:rsid w:val="2B5532F5"/>
    <w:rsid w:val="2B86357B"/>
    <w:rsid w:val="2BF801E0"/>
    <w:rsid w:val="2C27633C"/>
    <w:rsid w:val="2CA34E15"/>
    <w:rsid w:val="2D3609BA"/>
    <w:rsid w:val="2DED126B"/>
    <w:rsid w:val="2E1A39AF"/>
    <w:rsid w:val="2E285E00"/>
    <w:rsid w:val="2E3C6656"/>
    <w:rsid w:val="2EAC3B19"/>
    <w:rsid w:val="2FD119E8"/>
    <w:rsid w:val="30AC0AE7"/>
    <w:rsid w:val="30DE1DEA"/>
    <w:rsid w:val="31A2295C"/>
    <w:rsid w:val="31FA7822"/>
    <w:rsid w:val="329F334C"/>
    <w:rsid w:val="32AE26CD"/>
    <w:rsid w:val="333A23FE"/>
    <w:rsid w:val="33A44776"/>
    <w:rsid w:val="33C1661F"/>
    <w:rsid w:val="34AD2474"/>
    <w:rsid w:val="352D6FA9"/>
    <w:rsid w:val="356472D4"/>
    <w:rsid w:val="363B5ACF"/>
    <w:rsid w:val="36455271"/>
    <w:rsid w:val="367529DA"/>
    <w:rsid w:val="3697169A"/>
    <w:rsid w:val="36A624DA"/>
    <w:rsid w:val="36D65E5D"/>
    <w:rsid w:val="37426FDE"/>
    <w:rsid w:val="37ED64A6"/>
    <w:rsid w:val="389F0576"/>
    <w:rsid w:val="39034F79"/>
    <w:rsid w:val="39127433"/>
    <w:rsid w:val="39194863"/>
    <w:rsid w:val="39A31405"/>
    <w:rsid w:val="39C26478"/>
    <w:rsid w:val="3B1B46DE"/>
    <w:rsid w:val="3B220632"/>
    <w:rsid w:val="3B383E02"/>
    <w:rsid w:val="3B5652BB"/>
    <w:rsid w:val="3B57797F"/>
    <w:rsid w:val="3C2D5D4F"/>
    <w:rsid w:val="3CE46145"/>
    <w:rsid w:val="3D5A1E03"/>
    <w:rsid w:val="3D705466"/>
    <w:rsid w:val="3F476748"/>
    <w:rsid w:val="3F5923A4"/>
    <w:rsid w:val="3FA95ECC"/>
    <w:rsid w:val="3FD7049B"/>
    <w:rsid w:val="3FFC28DC"/>
    <w:rsid w:val="409D3A36"/>
    <w:rsid w:val="41155EA7"/>
    <w:rsid w:val="41445C3F"/>
    <w:rsid w:val="41565089"/>
    <w:rsid w:val="41B9400F"/>
    <w:rsid w:val="420F6489"/>
    <w:rsid w:val="42585867"/>
    <w:rsid w:val="44393971"/>
    <w:rsid w:val="446E3CA0"/>
    <w:rsid w:val="44AE4ABA"/>
    <w:rsid w:val="450029CC"/>
    <w:rsid w:val="4603465C"/>
    <w:rsid w:val="46E845BF"/>
    <w:rsid w:val="48A45BC1"/>
    <w:rsid w:val="48C30BE0"/>
    <w:rsid w:val="48DE0279"/>
    <w:rsid w:val="4978472F"/>
    <w:rsid w:val="49DD762E"/>
    <w:rsid w:val="4A361719"/>
    <w:rsid w:val="4B662CF3"/>
    <w:rsid w:val="4BEC4211"/>
    <w:rsid w:val="4C355606"/>
    <w:rsid w:val="4C58104F"/>
    <w:rsid w:val="4C742E01"/>
    <w:rsid w:val="4CBE789E"/>
    <w:rsid w:val="4D770852"/>
    <w:rsid w:val="4D7F3BA7"/>
    <w:rsid w:val="4D9969C0"/>
    <w:rsid w:val="4DFF5714"/>
    <w:rsid w:val="4EF245B6"/>
    <w:rsid w:val="4F195165"/>
    <w:rsid w:val="50476020"/>
    <w:rsid w:val="50C9093D"/>
    <w:rsid w:val="51661624"/>
    <w:rsid w:val="516C3203"/>
    <w:rsid w:val="518D3254"/>
    <w:rsid w:val="523E6E87"/>
    <w:rsid w:val="52D878D9"/>
    <w:rsid w:val="533675C2"/>
    <w:rsid w:val="533C34E8"/>
    <w:rsid w:val="53ED7A42"/>
    <w:rsid w:val="54EF7C41"/>
    <w:rsid w:val="553B6079"/>
    <w:rsid w:val="5639255A"/>
    <w:rsid w:val="56672908"/>
    <w:rsid w:val="56975624"/>
    <w:rsid w:val="56BD10CB"/>
    <w:rsid w:val="56C41A2A"/>
    <w:rsid w:val="57281F0E"/>
    <w:rsid w:val="57484718"/>
    <w:rsid w:val="57790350"/>
    <w:rsid w:val="5830167A"/>
    <w:rsid w:val="585B782C"/>
    <w:rsid w:val="5A064227"/>
    <w:rsid w:val="5AF05F04"/>
    <w:rsid w:val="5B816D81"/>
    <w:rsid w:val="5BF14098"/>
    <w:rsid w:val="5BFE193C"/>
    <w:rsid w:val="5C782D58"/>
    <w:rsid w:val="5D0134C1"/>
    <w:rsid w:val="5D2B644E"/>
    <w:rsid w:val="5DC54EC5"/>
    <w:rsid w:val="5EB145CD"/>
    <w:rsid w:val="5F9E2F05"/>
    <w:rsid w:val="5FDD088B"/>
    <w:rsid w:val="6018139A"/>
    <w:rsid w:val="60AE4572"/>
    <w:rsid w:val="61374341"/>
    <w:rsid w:val="617736C4"/>
    <w:rsid w:val="625503FA"/>
    <w:rsid w:val="633263AA"/>
    <w:rsid w:val="63937401"/>
    <w:rsid w:val="64327832"/>
    <w:rsid w:val="64CC787F"/>
    <w:rsid w:val="66616164"/>
    <w:rsid w:val="66A8115B"/>
    <w:rsid w:val="66CE4939"/>
    <w:rsid w:val="676B2A6C"/>
    <w:rsid w:val="67A5328C"/>
    <w:rsid w:val="685F7628"/>
    <w:rsid w:val="687E6F69"/>
    <w:rsid w:val="68BA0C3E"/>
    <w:rsid w:val="69E43B46"/>
    <w:rsid w:val="69E527BA"/>
    <w:rsid w:val="6A1D6B17"/>
    <w:rsid w:val="6A396DE4"/>
    <w:rsid w:val="6A5A5B03"/>
    <w:rsid w:val="6AC96049"/>
    <w:rsid w:val="6ACC7C98"/>
    <w:rsid w:val="6AD73DA1"/>
    <w:rsid w:val="6AE30D0F"/>
    <w:rsid w:val="6BAD1A11"/>
    <w:rsid w:val="6D441D47"/>
    <w:rsid w:val="6D5346F3"/>
    <w:rsid w:val="6D8F679C"/>
    <w:rsid w:val="6F9203FA"/>
    <w:rsid w:val="6FB300DB"/>
    <w:rsid w:val="6FB92452"/>
    <w:rsid w:val="701376C3"/>
    <w:rsid w:val="703E625C"/>
    <w:rsid w:val="70681EDC"/>
    <w:rsid w:val="71086382"/>
    <w:rsid w:val="710D1F1E"/>
    <w:rsid w:val="726A126A"/>
    <w:rsid w:val="72A87288"/>
    <w:rsid w:val="73823088"/>
    <w:rsid w:val="74B84A7F"/>
    <w:rsid w:val="75210524"/>
    <w:rsid w:val="75E56F0B"/>
    <w:rsid w:val="76C56435"/>
    <w:rsid w:val="771D7E12"/>
    <w:rsid w:val="79715B49"/>
    <w:rsid w:val="798C095E"/>
    <w:rsid w:val="79C83863"/>
    <w:rsid w:val="7A3A4045"/>
    <w:rsid w:val="7ADB139D"/>
    <w:rsid w:val="7B8E07C6"/>
    <w:rsid w:val="7BDE5B01"/>
    <w:rsid w:val="7C1F2D15"/>
    <w:rsid w:val="7CA339F0"/>
    <w:rsid w:val="7D1A7C3A"/>
    <w:rsid w:val="7D25321C"/>
    <w:rsid w:val="7D9C107B"/>
    <w:rsid w:val="7DC73FD2"/>
    <w:rsid w:val="7E134F1C"/>
    <w:rsid w:val="7E1F765D"/>
    <w:rsid w:val="7E4A310D"/>
    <w:rsid w:val="7E502A0E"/>
    <w:rsid w:val="7E7769B0"/>
    <w:rsid w:val="7EF54776"/>
    <w:rsid w:val="7EFD3C7F"/>
    <w:rsid w:val="7F8C3947"/>
    <w:rsid w:val="7FB53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0" w:after="0" w:line="440" w:lineRule="exact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0"/>
    <w:pPr>
      <w:keepNext/>
      <w:keepLines/>
      <w:spacing w:before="60" w:after="0" w:line="440" w:lineRule="exact"/>
      <w:ind w:left="0" w:firstLine="0"/>
      <w:jc w:val="left"/>
      <w:outlineLvl w:val="0"/>
    </w:pPr>
    <w:rPr>
      <w:rFonts w:ascii="Times New Roman" w:hAnsi="Times New Roman" w:eastAsia="宋体"/>
      <w:b/>
      <w:bCs/>
      <w:kern w:val="44"/>
      <w:sz w:val="28"/>
      <w:szCs w:val="44"/>
    </w:rPr>
  </w:style>
  <w:style w:type="paragraph" w:styleId="3">
    <w:name w:val="heading 2"/>
    <w:basedOn w:val="1"/>
    <w:next w:val="1"/>
    <w:link w:val="16"/>
    <w:unhideWhenUsed/>
    <w:qFormat/>
    <w:uiPriority w:val="0"/>
    <w:pPr>
      <w:keepNext/>
      <w:keepLines/>
      <w:spacing w:before="20" w:after="0" w:line="440" w:lineRule="exact"/>
      <w:ind w:left="0" w:firstLine="0"/>
      <w:jc w:val="left"/>
      <w:outlineLvl w:val="1"/>
    </w:pPr>
    <w:rPr>
      <w:rFonts w:asciiTheme="majorHAnsi" w:hAnsiTheme="majorHAnsi" w:eastAsiaTheme="majorEastAsia" w:cstheme="majorBidi"/>
      <w:b/>
      <w:bCs/>
      <w:sz w:val="24"/>
      <w:szCs w:val="32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3"/>
    <w:basedOn w:val="1"/>
    <w:next w:val="1"/>
    <w:qFormat/>
    <w:uiPriority w:val="39"/>
    <w:pPr>
      <w:ind w:left="840" w:leftChars="400"/>
    </w:p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toc 1"/>
    <w:basedOn w:val="1"/>
    <w:next w:val="1"/>
    <w:qFormat/>
    <w:uiPriority w:val="39"/>
  </w:style>
  <w:style w:type="paragraph" w:styleId="8">
    <w:name w:val="toc 2"/>
    <w:basedOn w:val="1"/>
    <w:next w:val="1"/>
    <w:qFormat/>
    <w:uiPriority w:val="39"/>
    <w:pPr>
      <w:ind w:left="420" w:leftChars="200"/>
    </w:pPr>
  </w:style>
  <w:style w:type="paragraph" w:styleId="9">
    <w:name w:val="Normal (Web)"/>
    <w:basedOn w:val="1"/>
    <w:qFormat/>
    <w:uiPriority w:val="0"/>
    <w:rPr>
      <w:sz w:val="24"/>
    </w:r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Hyperlink"/>
    <w:basedOn w:val="1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5">
    <w:name w:val="List Paragraph"/>
    <w:basedOn w:val="1"/>
    <w:qFormat/>
    <w:uiPriority w:val="99"/>
    <w:pPr>
      <w:ind w:firstLine="420" w:firstLineChars="200"/>
    </w:pPr>
  </w:style>
  <w:style w:type="character" w:customStyle="1" w:styleId="16">
    <w:name w:val="标题 2 字符"/>
    <w:basedOn w:val="12"/>
    <w:link w:val="3"/>
    <w:qFormat/>
    <w:uiPriority w:val="0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character" w:customStyle="1" w:styleId="17">
    <w:name w:val="标题 1 字符"/>
    <w:basedOn w:val="12"/>
    <w:link w:val="2"/>
    <w:qFormat/>
    <w:uiPriority w:val="0"/>
    <w:rPr>
      <w:b/>
      <w:bCs/>
      <w:kern w:val="44"/>
      <w:sz w:val="44"/>
      <w:szCs w:val="44"/>
    </w:rPr>
  </w:style>
  <w:style w:type="paragraph" w:customStyle="1" w:styleId="18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customStyle="1" w:styleId="19">
    <w:name w:val="heading 3"/>
    <w:qFormat/>
    <w:uiPriority w:val="0"/>
    <w:pPr>
      <w:keepNext/>
      <w:spacing w:before="20" w:after="0" w:line="440" w:lineRule="exact"/>
      <w:ind w:left="0" w:firstLine="0"/>
      <w:jc w:val="left"/>
    </w:pPr>
    <w:rPr>
      <w:rFonts w:ascii="Times New Roman" w:hAnsi="Times New Roman" w:eastAsia="宋体" w:cs="Times New Roman"/>
      <w:b/>
      <w:sz w:val="24"/>
    </w:rPr>
  </w:style>
  <w:style w:type="paragraph" w:customStyle="1" w:styleId="20">
    <w:name w:val="TOC 1"/>
    <w:qFormat/>
    <w:uiPriority w:val="0"/>
    <w:pPr>
      <w:spacing w:before="0" w:after="0" w:line="360" w:lineRule="exact"/>
      <w:ind w:left="0" w:firstLine="0"/>
    </w:pPr>
    <w:rPr>
      <w:rFonts w:ascii="Times New Roman" w:hAnsi="Times New Roman" w:eastAsia="宋体" w:cs="Times New Roman"/>
      <w:sz w:val="21"/>
    </w:rPr>
  </w:style>
  <w:style w:type="paragraph" w:customStyle="1" w:styleId="21">
    <w:name w:val="TOC 2"/>
    <w:qFormat/>
    <w:uiPriority w:val="0"/>
    <w:pPr>
      <w:spacing w:before="0" w:after="0" w:line="360" w:lineRule="exact"/>
      <w:ind w:left="420" w:firstLine="0"/>
    </w:pPr>
    <w:rPr>
      <w:rFonts w:ascii="Times New Roman" w:hAnsi="Times New Roman" w:eastAsia="宋体" w:cs="Times New Roman"/>
      <w:sz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C0703C-289D-4134-AEC5-C362D73C7EA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2542</Words>
  <Characters>2806</Characters>
  <Lines>81</Lines>
  <Paragraphs>22</Paragraphs>
  <TotalTime>14</TotalTime>
  <ScaleCrop>false</ScaleCrop>
  <LinksUpToDate>false</LinksUpToDate>
  <CharactersWithSpaces>2894</CharactersWithSpaces>
  <Application>WPS Office_12.1.0.23122_F1E327BC-269C-435d-A152-05C5408002CA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2017-08-07T08:49:00Z</dcterms:created>
  <dc:creator>匡君威</dc:creator>
  <dc:description>基于2025年C题、E题报告模板编制的H题技术初稿</dc:description>
  <cp:lastModifiedBy>匡君威</cp:lastModifiedBy>
  <dcterms:modified xsi:type="dcterms:W3CDTF">2026-07-30T01:32:27Z</dcterms:modified>
  <dc:subject>2026年全国大学生电子设计竞赛设计报告</dc:subject>
  <dc:title>车载平衡滚球运动控制系统（H题）</dc:title>
  <cp:revision>163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2052-12.1.0.23122</vt:lpwstr>
  </property>
  <property fmtid="{D5CDD505-2E9C-101B-9397-08002B2CF9AE}" pid="3" name="MTWinEqns">
    <vt:bool>true</vt:bool>
  </property>
  <property fmtid="{D5CDD505-2E9C-101B-9397-08002B2CF9AE}" pid="4" name="KSOTemplateDocerSaveRecord">
    <vt:lpwstr>eyJoZGlkIjoiMTNmM2QyNTA1MjE5ZjM4Zjk1ZDY4YzY2YTczOTI5OTciLCJ1c2VySWQiOiI0MjM4ODMxMjQifQ==</vt:lpwstr>
  </property>
  <property fmtid="{D5CDD505-2E9C-101B-9397-08002B2CF9AE}" pid="5" name="ICV">
    <vt:lpwstr>29539105018646169BECADA306F8AE10_12</vt:lpwstr>
  </property>
</Properties>
</file>