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5977">
      <w:pPr>
        <w:spacing w:before="440" w:after="880"/>
        <w:jc w:val="center"/>
      </w:pPr>
      <w:r>
        <w:rPr>
          <w:rFonts w:ascii="Times New Roman" w:hAnsi="Times New Roman" w:eastAsia="宋体"/>
          <w:sz w:val="48"/>
        </w:rPr>
        <w:t>2026年全国大学生电子设计竞赛</w:t>
      </w:r>
    </w:p>
    <w:p w14:paraId="6C7B9202">
      <w:pPr>
        <w:spacing w:before="0" w:after="2640"/>
        <w:jc w:val="center"/>
      </w:pPr>
      <w:r>
        <w:rPr>
          <w:rFonts w:ascii="Times New Roman" w:hAnsi="Times New Roman" w:eastAsia="宋体"/>
          <w:b/>
          <w:color w:val="FF0000"/>
          <w:sz w:val="36"/>
        </w:rPr>
        <w:t>车载平衡滚球运动控制系统</w:t>
      </w:r>
      <w:r>
        <w:rPr>
          <w:rFonts w:ascii="Times New Roman" w:hAnsi="Times New Roman" w:eastAsia="宋体"/>
          <w:b/>
          <w:sz w:val="36"/>
        </w:rPr>
        <w:t>（H题）</w:t>
      </w:r>
    </w:p>
    <w:p w14:paraId="2B51E4BD">
      <w:pPr>
        <w:spacing w:after="2500"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56740" cy="1256030"/>
            <wp:effectExtent l="0" t="0" r="2540" b="8890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FE69">
      <w:pPr>
        <w:jc w:val="center"/>
      </w:pPr>
      <w:r>
        <w:rPr>
          <w:rFonts w:ascii="Times New Roman" w:hAnsi="Times New Roman" w:eastAsia="宋体"/>
          <w:b/>
          <w:sz w:val="32"/>
        </w:rPr>
        <w:t>2026年8月1日</w:t>
      </w:r>
      <w:r>
        <w:br w:type="page"/>
      </w:r>
    </w:p>
    <w:p w14:paraId="4FAA54A9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sz w:val="24"/>
        </w:rPr>
        <w:t>摘要：</w:t>
      </w:r>
      <w:r>
        <w:rPr>
          <w:rFonts w:ascii="Times New Roman" w:hAnsi="Times New Roman" w:eastAsia="宋体"/>
          <w:sz w:val="24"/>
        </w:rPr>
        <w:t>针对车载平衡滚球运动控制系统在循迹行驶、车体加减速扰动和视觉测量延迟共同作用下的控制问题，本设计构建了由循迹小车、K230视觉定位模块、摆杆执行机构、图传记录装置和人机交互模块组成的分层控制系统。小车采用七路红外阵列计算黑线偏差，以差速运动学和增量式PID实现直线、半圆弧及启停线识别；钢球图像由摆杆上方的MIPI CSI摄像头采集，K230运行单类别YOLOv8n模型，经ROI/letterbox预处理、KPU推理、置信度与NMS筛选得到检测框中心，再通过透视标定和α-β状态估计获得物理位置与速度。根据实心钢球在倾斜凹槽内的滚动模型，设计位置-速度双闭环控制，并引入车体纵向加速度前馈、角度限幅、积分抗饱和和目标位置轨迹规划，兼顾静态往返、中心稳定及任意指定位置稳定。系统采用多速率任务调度，将K230异步推理、球位观测更新、循迹、球杆控制、计时显示和图传记录解耦，形成可训练、可标定、可测试和可复现的工程实现方案。</w:t>
      </w:r>
    </w:p>
    <w:p w14:paraId="1E9738B6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红外循迹；K230；YOLO钢球检测；球杆系统；双闭环控制</w:t>
      </w:r>
    </w:p>
    <w:p w14:paraId="43683BB8">
      <w:pPr>
        <w:sectPr>
          <w:headerReference r:id="rId5" w:type="default"/>
          <w:footerReference r:id="rId6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0E413A4F">
      <w:pPr>
        <w:spacing w:before="200" w:after="280"/>
        <w:jc w:val="center"/>
      </w:pPr>
      <w:r>
        <w:rPr>
          <w:rFonts w:ascii="Times New Roman" w:hAnsi="Times New Roman" w:eastAsia="宋体"/>
          <w:sz w:val="40"/>
        </w:rPr>
        <w:t>目 录</w:t>
      </w:r>
    </w:p>
    <w:p w14:paraId="522DDA1A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_Toc30497 </w:instrText>
      </w:r>
      <w:r>
        <w:fldChar w:fldCharType="separate"/>
      </w:r>
      <w:r>
        <w:rPr>
          <w:rFonts w:ascii="Times New Roman" w:hAnsi="Times New Roman" w:eastAsia="宋体"/>
        </w:rPr>
        <w:t>一、系统方案</w:t>
      </w:r>
      <w:r>
        <w:tab/>
      </w:r>
      <w:r>
        <w:fldChar w:fldCharType="begin"/>
      </w:r>
      <w:r>
        <w:instrText xml:space="preserve"> PAGEREF _Toc30497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4E3B72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_Toc17238 </w:instrText>
      </w:r>
      <w:r>
        <w:fldChar w:fldCharType="separate"/>
      </w:r>
      <w:r>
        <w:rPr>
          <w:rFonts w:ascii="Times New Roman" w:hAnsi="Times New Roman" w:eastAsia="宋体"/>
        </w:rPr>
        <w:t>1、总体方案</w:t>
      </w:r>
      <w:r>
        <w:tab/>
      </w:r>
      <w:r>
        <w:fldChar w:fldCharType="begin"/>
      </w:r>
      <w:r>
        <w:instrText xml:space="preserve"> PAGEREF _Toc17238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C1F78B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_Toc22361 </w:instrText>
      </w:r>
      <w:r>
        <w:fldChar w:fldCharType="separate"/>
      </w:r>
      <w:r>
        <w:rPr>
          <w:rFonts w:ascii="Times New Roman" w:hAnsi="Times New Roman" w:eastAsia="宋体"/>
        </w:rPr>
        <w:t>2、小车循迹控制方案论证</w:t>
      </w:r>
      <w:r>
        <w:tab/>
      </w:r>
      <w:r>
        <w:fldChar w:fldCharType="begin"/>
      </w:r>
      <w:r>
        <w:instrText xml:space="preserve"> PAGEREF _Toc22361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590E4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_Toc10653 </w:instrText>
      </w:r>
      <w:r>
        <w:fldChar w:fldCharType="separate"/>
      </w:r>
      <w:r>
        <w:rPr>
          <w:rFonts w:ascii="Times New Roman" w:hAnsi="Times New Roman" w:eastAsia="宋体"/>
        </w:rPr>
        <w:t>3、K230与YOLO钢球检测方案论证</w:t>
      </w:r>
      <w:r>
        <w:tab/>
      </w:r>
      <w:r>
        <w:fldChar w:fldCharType="begin"/>
      </w:r>
      <w:r>
        <w:instrText xml:space="preserve"> PAGEREF _Toc10653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83BAB9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_Toc24404 </w:instrText>
      </w:r>
      <w:r>
        <w:fldChar w:fldCharType="separate"/>
      </w:r>
      <w:r>
        <w:rPr>
          <w:rFonts w:ascii="Times New Roman" w:hAnsi="Times New Roman" w:eastAsia="宋体"/>
        </w:rPr>
        <w:t>4、摆杆执行机构与控制方案论证</w:t>
      </w:r>
      <w:r>
        <w:tab/>
      </w:r>
      <w:r>
        <w:fldChar w:fldCharType="begin"/>
      </w:r>
      <w:r>
        <w:instrText xml:space="preserve"> PAGEREF _Toc24404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87F9D1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_Toc29272 </w:instrText>
      </w:r>
      <w:r>
        <w:fldChar w:fldCharType="separate"/>
      </w:r>
      <w:r>
        <w:rPr>
          <w:rFonts w:ascii="Times New Roman" w:hAnsi="Times New Roman" w:eastAsia="宋体"/>
        </w:rPr>
        <w:t>二、理论分析与计算</w:t>
      </w:r>
      <w:r>
        <w:tab/>
      </w:r>
      <w:r>
        <w:fldChar w:fldCharType="begin"/>
      </w:r>
      <w:r>
        <w:instrText xml:space="preserve"> PAGEREF _Toc29272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DE823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_Toc12227 </w:instrText>
      </w:r>
      <w:r>
        <w:fldChar w:fldCharType="separate"/>
      </w:r>
      <w:r>
        <w:rPr>
          <w:rFonts w:ascii="Times New Roman" w:hAnsi="Times New Roman" w:eastAsia="宋体"/>
        </w:rPr>
        <w:t>1、小车循迹运动学与终点控制</w:t>
      </w:r>
      <w:r>
        <w:tab/>
      </w:r>
      <w:r>
        <w:fldChar w:fldCharType="begin"/>
      </w:r>
      <w:r>
        <w:instrText xml:space="preserve"> PAGEREF _Toc12227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9DC4C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_Toc6986 </w:instrText>
      </w:r>
      <w:r>
        <w:fldChar w:fldCharType="separate"/>
      </w:r>
      <w:r>
        <w:rPr>
          <w:rFonts w:ascii="Times New Roman" w:hAnsi="Times New Roman" w:eastAsia="宋体"/>
        </w:rPr>
        <w:t>2、球杆系统动力学模型</w:t>
      </w:r>
      <w:r>
        <w:tab/>
      </w:r>
      <w:r>
        <w:fldChar w:fldCharType="begin"/>
      </w:r>
      <w:r>
        <w:instrText xml:space="preserve"> PAGEREF _Toc6986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6F753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_Toc6095 </w:instrText>
      </w:r>
      <w:r>
        <w:fldChar w:fldCharType="separate"/>
      </w:r>
      <w:r>
        <w:rPr>
          <w:rFonts w:ascii="Times New Roman" w:hAnsi="Times New Roman" w:eastAsia="宋体"/>
        </w:rPr>
        <w:t>3、YOLO检测、坐标映射与状态估计</w:t>
      </w:r>
      <w:r>
        <w:tab/>
      </w:r>
      <w:r>
        <w:fldChar w:fldCharType="begin"/>
      </w:r>
      <w:r>
        <w:instrText xml:space="preserve"> PAGEREF _Toc6095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3A1BA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_Toc9637 </w:instrText>
      </w:r>
      <w:r>
        <w:fldChar w:fldCharType="separate"/>
      </w:r>
      <w:r>
        <w:rPr>
          <w:rFonts w:ascii="Times New Roman" w:hAnsi="Times New Roman" w:eastAsia="宋体"/>
        </w:rPr>
        <w:t>4、双闭环与抗扰控制</w:t>
      </w:r>
      <w:r>
        <w:tab/>
      </w:r>
      <w:r>
        <w:fldChar w:fldCharType="begin"/>
      </w:r>
      <w:r>
        <w:instrText xml:space="preserve"> PAGEREF _Toc9637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7E594BE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_Toc28641 </w:instrText>
      </w:r>
      <w:r>
        <w:fldChar w:fldCharType="separate"/>
      </w:r>
      <w:r>
        <w:rPr>
          <w:rFonts w:ascii="Times New Roman" w:hAnsi="Times New Roman" w:eastAsia="宋体"/>
        </w:rPr>
        <w:t>三、电路与程序设计</w:t>
      </w:r>
      <w:r>
        <w:tab/>
      </w:r>
      <w:r>
        <w:fldChar w:fldCharType="begin"/>
      </w:r>
      <w:r>
        <w:instrText xml:space="preserve"> PAGEREF _Toc28641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54A213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_Toc31785 </w:instrText>
      </w:r>
      <w:r>
        <w:fldChar w:fldCharType="separate"/>
      </w:r>
      <w:r>
        <w:rPr>
          <w:rFonts w:ascii="Times New Roman" w:hAnsi="Times New Roman" w:eastAsia="宋体"/>
        </w:rPr>
        <w:t>1、控制电路与硬件连接</w:t>
      </w:r>
      <w:r>
        <w:tab/>
      </w:r>
      <w:r>
        <w:fldChar w:fldCharType="begin"/>
      </w:r>
      <w:r>
        <w:instrText xml:space="preserve"> PAGEREF _Toc31785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28FA5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_Toc970 </w:instrText>
      </w:r>
      <w:r>
        <w:fldChar w:fldCharType="separate"/>
      </w:r>
      <w:r>
        <w:rPr>
          <w:rFonts w:ascii="Times New Roman" w:hAnsi="Times New Roman" w:eastAsia="宋体"/>
        </w:rPr>
        <w:t>2、程序结构与时序</w:t>
      </w:r>
      <w:r>
        <w:tab/>
      </w:r>
      <w:r>
        <w:fldChar w:fldCharType="begin"/>
      </w:r>
      <w:r>
        <w:instrText xml:space="preserve"> PAGEREF _Toc970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90B4A6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_Toc24362 </w:instrText>
      </w:r>
      <w:r>
        <w:fldChar w:fldCharType="separate"/>
      </w:r>
      <w:r>
        <w:rPr>
          <w:rFonts w:ascii="Times New Roman" w:hAnsi="Times New Roman" w:eastAsia="宋体"/>
        </w:rPr>
        <w:t>3、标定、限幅与故障处理</w:t>
      </w:r>
      <w:r>
        <w:tab/>
      </w:r>
      <w:r>
        <w:fldChar w:fldCharType="begin"/>
      </w:r>
      <w:r>
        <w:instrText xml:space="preserve"> PAGEREF _Toc24362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E19D43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_Toc20276 </w:instrText>
      </w:r>
      <w:r>
        <w:fldChar w:fldCharType="separate"/>
      </w:r>
      <w:r>
        <w:rPr>
          <w:rFonts w:ascii="Times New Roman" w:hAnsi="Times New Roman" w:eastAsia="宋体"/>
        </w:rPr>
        <w:t>四、测试方案与测试结果</w:t>
      </w:r>
      <w:r>
        <w:tab/>
      </w:r>
      <w:r>
        <w:fldChar w:fldCharType="begin"/>
      </w:r>
      <w:r>
        <w:instrText xml:space="preserve"> PAGEREF _Toc20276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2AB43F2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_Toc11716 </w:instrText>
      </w:r>
      <w:r>
        <w:fldChar w:fldCharType="separate"/>
      </w:r>
      <w:r>
        <w:rPr>
          <w:rFonts w:ascii="Times New Roman" w:hAnsi="Times New Roman" w:eastAsia="宋体"/>
        </w:rPr>
        <w:t>1、测试条件与仪器</w:t>
      </w:r>
      <w:r>
        <w:tab/>
      </w:r>
      <w:r>
        <w:fldChar w:fldCharType="begin"/>
      </w:r>
      <w:r>
        <w:instrText xml:space="preserve"> PAGEREF _Toc11716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B4A0C2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_Toc9851 </w:instrText>
      </w:r>
      <w:r>
        <w:fldChar w:fldCharType="separate"/>
      </w:r>
      <w:r>
        <w:rPr>
          <w:rFonts w:ascii="Times New Roman" w:hAnsi="Times New Roman" w:eastAsia="宋体"/>
        </w:rPr>
        <w:t>2、测试步骤与数据处理</w:t>
      </w:r>
      <w:r>
        <w:tab/>
      </w:r>
      <w:r>
        <w:fldChar w:fldCharType="begin"/>
      </w:r>
      <w:r>
        <w:instrText xml:space="preserve"> PAGEREF _Toc9851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69CDFA2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_Toc24014 </w:instrText>
      </w:r>
      <w:r>
        <w:fldChar w:fldCharType="separate"/>
      </w:r>
      <w:r>
        <w:rPr>
          <w:rFonts w:ascii="Times New Roman" w:hAnsi="Times New Roman" w:eastAsia="宋体"/>
        </w:rPr>
        <w:t>3、判定方法与误差分析</w:t>
      </w:r>
      <w:r>
        <w:tab/>
      </w:r>
      <w:r>
        <w:fldChar w:fldCharType="begin"/>
      </w:r>
      <w:r>
        <w:instrText xml:space="preserve"> PAGEREF _Toc24014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9A403C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_Toc30557 </w:instrText>
      </w:r>
      <w:r>
        <w:fldChar w:fldCharType="separate"/>
      </w:r>
      <w:r>
        <w:rPr>
          <w:rFonts w:ascii="Times New Roman" w:hAnsi="Times New Roman" w:eastAsia="宋体"/>
        </w:rPr>
        <w:t>五、结论与改进</w:t>
      </w:r>
      <w:r>
        <w:tab/>
      </w:r>
      <w:r>
        <w:fldChar w:fldCharType="begin"/>
      </w:r>
      <w:r>
        <w:instrText xml:space="preserve"> PAGEREF _Toc30557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AF23986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_Toc16458 </w:instrText>
      </w:r>
      <w:r>
        <w:fldChar w:fldCharType="separate"/>
      </w:r>
      <w:r>
        <w:rPr>
          <w:rFonts w:ascii="Times New Roman" w:hAnsi="Times New Roman" w:eastAsia="宋体"/>
        </w:rPr>
        <w:t>六、参考文献</w:t>
      </w:r>
      <w:r>
        <w:tab/>
      </w:r>
      <w:r>
        <w:fldChar w:fldCharType="begin"/>
      </w:r>
      <w:r>
        <w:instrText xml:space="preserve"> PAGEREF _Toc16458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CBFAA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_Toc26661 </w:instrText>
      </w:r>
      <w:r>
        <w:fldChar w:fldCharType="separate"/>
      </w:r>
      <w:r>
        <w:rPr>
          <w:rFonts w:ascii="Times New Roman" w:hAnsi="Times New Roman" w:eastAsia="宋体"/>
        </w:rPr>
        <w:t>附录：核心控制伪代码</w:t>
      </w:r>
      <w:r>
        <w:tab/>
      </w:r>
      <w:r>
        <w:fldChar w:fldCharType="begin"/>
      </w:r>
      <w:r>
        <w:instrText xml:space="preserve"> PAGEREF _Toc26661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7A36248">
      <w:pPr>
        <w:widowControl/>
        <w:spacing w:before="0" w:after="0" w:line="360" w:lineRule="exact"/>
        <w:ind w:firstLine="0"/>
        <w:jc w:val="left"/>
      </w:pPr>
      <w:r>
        <w:fldChar w:fldCharType="end"/>
      </w:r>
    </w:p>
    <w:p w14:paraId="06B93DB3">
      <w:pPr>
        <w:sectPr>
          <w:headerReference r:id="rId7" w:type="default"/>
          <w:footerReference r:id="rId8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1731971B">
      <w:pPr>
        <w:widowControl/>
        <w:spacing w:before="0" w:after="0" w:line="440" w:lineRule="exact"/>
        <w:ind w:firstLine="0"/>
        <w:jc w:val="center"/>
      </w:pPr>
      <w:r>
        <w:rPr>
          <w:rFonts w:ascii="Times New Roman" w:hAnsi="Times New Roman" w:eastAsia="宋体"/>
          <w:sz w:val="36"/>
        </w:rPr>
        <w:t>车载平衡滚球运动控制系统（</w:t>
      </w:r>
      <w:r>
        <w:rPr>
          <w:rFonts w:ascii="Times New Roman" w:hAnsi="Times New Roman" w:eastAsia="宋体"/>
          <w:b/>
          <w:sz w:val="36"/>
        </w:rPr>
        <w:t>H</w:t>
      </w:r>
      <w:r>
        <w:rPr>
          <w:rFonts w:ascii="Times New Roman" w:hAnsi="Times New Roman" w:eastAsia="宋体"/>
          <w:sz w:val="36"/>
        </w:rPr>
        <w:t>题）</w:t>
      </w:r>
    </w:p>
    <w:p w14:paraId="13F51D0F">
      <w:pPr>
        <w:pStyle w:val="2"/>
        <w:keepNext/>
      </w:pPr>
      <w:bookmarkStart w:id="0" w:name="_Toc30497"/>
      <w:r>
        <w:rPr>
          <w:rFonts w:hint="eastAsia"/>
          <w:sz w:val="36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8"/>
        </w:rPr>
        <w:t>一、系统方案</w:t>
      </w:r>
      <w:bookmarkEnd w:id="0"/>
    </w:p>
    <w:p w14:paraId="3C6BF5B3">
      <w:pPr>
        <w:pStyle w:val="3"/>
        <w:keepNext/>
      </w:pPr>
      <w:bookmarkStart w:id="1" w:name="_Toc17238"/>
      <w:r>
        <w:rPr>
          <w:rFonts w:ascii="Times New Roman" w:hAnsi="Times New Roman" w:eastAsia="宋体"/>
          <w:b/>
          <w:sz w:val="24"/>
        </w:rPr>
        <w:t>1、总体方案</w:t>
      </w:r>
      <w:bookmarkEnd w:id="1"/>
    </w:p>
    <w:p w14:paraId="46D1E67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系统由循迹底盘、K230球位视觉检测、摆杆角度执行、图传记录和人机交互五部分组成。摆杆沿小车纵向中心线布置，左端铰接点距车体平板不小于5 cm，右端由数字舵机经连杆改变高度。这种布置使弯道横向向心加速度主要由凹槽侧壁承担，沿摆杆方向的主要扰动转化为小车纵向加减速，便于通过前馈补偿。K230通过MIPI CSI摄像头采集摆杆ROI，在KPU上运行YOLOv8n完成钢球检测、坐标反映射和置信度筛选，并经UART向MSPM0发送带时间戳的球位报文；独立图传摄像头与5.8 GHz发送模块负责实时显示、录像和回放，控制视觉链与图传链相互独立。系统总体结构如图1所示。</w:t>
      </w:r>
    </w:p>
    <w:p w14:paraId="112EE4EE">
      <w:pPr>
        <w:keepNext/>
        <w:spacing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66720"/>
            <wp:effectExtent l="0" t="0" r="1905" b="5080"/>
            <wp:docPr id="4" name="图片 4" descr="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1A58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 系统总体框图</w:t>
      </w:r>
    </w:p>
    <w:p w14:paraId="24EBD4B7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表1 题目指标与设计对应关系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050"/>
        <w:gridCol w:w="4300"/>
      </w:tblGrid>
      <w:tr w14:paraId="7AB2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8A007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题目要求</w:t>
            </w:r>
          </w:p>
        </w:tc>
        <w:tc>
          <w:tcPr>
            <w:tcW w:w="20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2A50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关键指标</w:t>
            </w:r>
          </w:p>
        </w:tc>
        <w:tc>
          <w:tcPr>
            <w:tcW w:w="43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01E99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设计对策</w:t>
            </w:r>
          </w:p>
        </w:tc>
      </w:tr>
      <w:tr w14:paraId="0455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55583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K230视觉与图传回放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C8DFF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YOLO稳定输出球位；画面覆盖全摆杆并完整记录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B7B25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K230-YOLO控制视觉与独立图传分链；带时间戳和CRC</w:t>
            </w:r>
          </w:p>
        </w:tc>
      </w:tr>
      <w:tr w14:paraId="68FC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71CE0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循迹一圈并停车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3AE6E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t≤20 s，停车偏差≤2 cm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DD370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速度分段、里程预减速、启停线全黑判据、主动制动</w:t>
            </w:r>
          </w:p>
        </w:tc>
      </w:tr>
      <w:tr w14:paraId="4FC3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C12550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静态O→+5→-5 cm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0FEAB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t≤5 s，最大误差≤1 cm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7179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S形目标规划、双闭环、到位判据和抗饱和</w:t>
            </w:r>
          </w:p>
        </w:tc>
      </w:tr>
      <w:tr w14:paraId="7D4C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970480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动态中心/任意位置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6F70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一圈≤30 s，误差≤1 cm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33831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球杆沿纵向布置、加速度前馈、弯道降速</w:t>
            </w:r>
          </w:p>
        </w:tc>
      </w:tr>
    </w:tbl>
    <w:p w14:paraId="6F0F7AC8">
      <w:pPr>
        <w:spacing w:before="20" w:after="0"/>
      </w:pPr>
    </w:p>
    <w:p w14:paraId="3E27526F">
      <w:pPr>
        <w:pStyle w:val="3"/>
        <w:keepNext/>
      </w:pPr>
      <w:bookmarkStart w:id="2" w:name="_Toc22361"/>
      <w:r>
        <w:rPr>
          <w:rFonts w:ascii="Times New Roman" w:hAnsi="Times New Roman" w:eastAsia="宋体"/>
          <w:b/>
          <w:sz w:val="24"/>
        </w:rPr>
        <w:t>2、小车循迹控制方案论证</w:t>
      </w:r>
      <w:bookmarkEnd w:id="2"/>
    </w:p>
    <w:p w14:paraId="273D9F2F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方案一采用少量开关式红外传感器和分段转向逻辑，结构简单，但黑线宽度、环境光和安装高度变化会使控制量突变，在半径0.5 m的连续弯道上容易形成左右摆动。方案二采用横向七路红外阵列，以各通道位置加权求取连续偏差，再由PID调节左右轮速度差；轮速编码器闭环保持基准速度，并依据直线、弯道和终点阶段切换速度。方案二可同时提高轨迹连续性、计时可重复性和终点制动精度，故本设计采用方案二。</w:t>
      </w:r>
    </w:p>
    <w:p w14:paraId="7452C47B">
      <w:pPr>
        <w:pStyle w:val="3"/>
        <w:keepNext/>
      </w:pPr>
      <w:bookmarkStart w:id="3" w:name="_Toc10653"/>
      <w:r>
        <w:rPr>
          <w:rFonts w:ascii="Times New Roman" w:hAnsi="Times New Roman" w:eastAsia="宋体"/>
          <w:b/>
          <w:sz w:val="24"/>
        </w:rPr>
        <w:t>3、K230与YOLO钢球检测方案论证</w:t>
      </w:r>
      <w:bookmarkEnd w:id="3"/>
    </w:p>
    <w:p w14:paraId="4533B061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接触式或近场传感器会改变凹槽结构或遮挡钢球，不符合题目对摄像头检测的要求。在摄像头方案中，传统灰度阈值与圆度筛选计算量小，但钢球高光、阴影、槽壁反光和运动模糊会使阈值随工况漂移；K230配合单类别YOLOv8n可在标注数据中学习钢球的形状与上下文特征，并利用KPU完成实时推理。训练集应覆盖中心、±5 cm、端部、不同环境光、背光、局部遮挡和车体振动工况，训练/验证/测试集按视频序列划分，避免相邻帧泄漏；模型由PyTorch导出ONNX，再用与板端固件匹配的nncase完成校准量化并生成kmodel。板端采用固定摆杆ROI、置信度阈值、NMS、检测框尺寸门限和时序门限联合筛选，输出唯一钢球目标，故采用K230＋YOLO方案。</w:t>
      </w:r>
    </w:p>
    <w:p w14:paraId="31EDD9DB">
      <w:pPr>
        <w:pStyle w:val="3"/>
        <w:keepNext/>
      </w:pPr>
      <w:bookmarkStart w:id="4" w:name="_Toc24404"/>
      <w:r>
        <w:rPr>
          <w:rFonts w:ascii="Times New Roman" w:hAnsi="Times New Roman" w:eastAsia="宋体"/>
          <w:b/>
          <w:sz w:val="24"/>
        </w:rPr>
        <w:t>4、摆杆执行机构与控制方案论证</w:t>
      </w:r>
      <w:bookmarkEnd w:id="4"/>
    </w:p>
    <w:p w14:paraId="7A4B8A3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步进电机开环角度分辨率高，但驱动器和机械传动体积较大，失步后无法自校正；直流减速电机需另加位置反馈，结构复杂。数字舵机集成角度闭环，PWM接口简单，配合短摇臂和球头连杆可在有限空间内快速改变摆杆角度。按摆杆及钢球总质量0.12 kg、重心距铰点0.125 m估算，静态重力矩约0.147 N·m；选用额定转矩不低于2 N·m的金属齿轮数字舵机，静态裕量大于10倍。控制上采用位置-速度双闭环而非单纯位置PID，并限制摆角和摆角变化率，降低视觉延迟引起的振荡。</w:t>
      </w:r>
    </w:p>
    <w:p w14:paraId="4016EE7B">
      <w:pPr>
        <w:pStyle w:val="2"/>
        <w:keepNext/>
      </w:pPr>
      <w:bookmarkStart w:id="5" w:name="_Toc29272"/>
      <w:r>
        <w:rPr>
          <w:rFonts w:ascii="Times New Roman" w:hAnsi="Times New Roman" w:eastAsia="宋体"/>
          <w:b/>
          <w:sz w:val="28"/>
        </w:rPr>
        <w:t>二、理论分析与计算</w:t>
      </w:r>
      <w:bookmarkEnd w:id="5"/>
    </w:p>
    <w:p w14:paraId="36B83E50">
      <w:pPr>
        <w:pStyle w:val="3"/>
        <w:keepNext/>
      </w:pPr>
      <w:bookmarkStart w:id="6" w:name="_Toc12227"/>
      <w:r>
        <w:rPr>
          <w:rFonts w:ascii="Times New Roman" w:hAnsi="Times New Roman" w:eastAsia="宋体"/>
          <w:b/>
          <w:sz w:val="24"/>
        </w:rPr>
        <w:t>1、小车循迹运动学与终点控制</w:t>
      </w:r>
      <w:bookmarkEnd w:id="6"/>
    </w:p>
    <w:p w14:paraId="4EDFBF6D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设七路红外传感器横向坐标为wᵢ，检测到黑线时sᵢ=1，则归一化横向偏差eᵧ由加权质心给出。当有效通道数为零时保持上一时刻转向方向并降速；当大多数通道同时为黑且里程门限已满足时，判定检测到A点启停线。</w:t>
      </w:r>
    </w:p>
    <w:p w14:paraId="49F5A359">
      <w:pPr>
        <w:widowControl/>
        <w:spacing w:before="20" w:after="20" w:line="360" w:lineRule="exact"/>
        <w:ind w:firstLine="0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e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ᵧ</m:t>
          </m:r>
          <m:r>
            <m:rPr/>
            <w:rPr>
              <w:rFonts w:hint="default" w:ascii="Cambria Math" w:hAnsi="Cambria Math" w:eastAsia="宋体"/>
              <w:sz w:val="22"/>
            </w:rPr>
            <m:t>=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Σ</m:t>
          </m:r>
          <m:r>
            <m:rPr/>
            <w:rPr>
              <w:rFonts w:hint="default" w:ascii="Cambria Math" w:hAnsi="Cambria Math" w:eastAsia="宋体"/>
              <w:sz w:val="22"/>
            </w:rPr>
            <m:t>(w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ᵢ</m:t>
          </m:r>
          <m:r>
            <m:rPr/>
            <w:rPr>
              <w:rFonts w:hint="default" w:ascii="Cambria Math" w:hAnsi="Cambria Math" w:eastAsia="宋体"/>
              <w:sz w:val="22"/>
            </w:rPr>
            <m:t>s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ᵢ</m:t>
          </m:r>
          <m:r>
            <m:rPr/>
            <w:rPr>
              <w:rFonts w:hint="default" w:ascii="Cambria Math" w:hAnsi="Cambria Math" w:eastAsia="宋体"/>
              <w:sz w:val="22"/>
            </w:rPr>
            <m:t>)/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Σ</m:t>
          </m:r>
          <m:r>
            <m:rPr/>
            <w:rPr>
              <w:rFonts w:hint="default" w:ascii="Cambria Math" w:hAnsi="Cambria Math" w:eastAsia="宋体"/>
              <w:sz w:val="22"/>
            </w:rPr>
            <m:t>s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ᵢ</m:t>
          </m:r>
        </m:oMath>
      </m:oMathPara>
    </w:p>
    <w:p w14:paraId="59786594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差速底盘以车体线速度v和角速度ω为控制量，轮距为b时，左右轮目标速度分别为：</w:t>
      </w:r>
    </w:p>
    <w:p w14:paraId="034B8497">
      <w:pPr>
        <w:widowControl/>
        <w:spacing w:before="20" w:after="20" w:line="360" w:lineRule="exact"/>
        <w:ind w:firstLine="0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vL=v−bω/2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，</m:t>
          </m:r>
          <m:r>
            <m:rPr/>
            <w:rPr>
              <w:rFonts w:hint="default" w:ascii="Cambria Math" w:hAnsi="Cambria Math" w:eastAsia="宋体"/>
              <w:sz w:val="22"/>
            </w:rPr>
            <m:t>vR=v+bω/2</m:t>
          </m:r>
        </m:oMath>
      </m:oMathPara>
    </w:p>
    <w:p w14:paraId="50137251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外环根据eᵧ计算ω，内环利用编码器调节两轮PWM。A点起步后的前0.5 m屏蔽启停线判据，接近一圈里程时提前降至0.12 m/s；检测启停线后立即短时反向制动，再用编码器低速修正。环路长度L=2×1.5+2π×0.5=6.142 m。20 s指标要求平均速度不低于0.307 m/s；快速模式取直线0.42 m/s、弯道0.30 m/s，理论运行时间约17.6 s，并预留识别和制动时间。滚球模式取直线0.30 m/s、弯道0.22 m/s，理论一圈约24.3 s；AB段理论用时5.0 s，均留有指标裕量。</w:t>
      </w:r>
    </w:p>
    <w:p w14:paraId="4C9CA650">
      <w:pPr>
        <w:pStyle w:val="3"/>
        <w:keepNext/>
      </w:pPr>
      <w:bookmarkStart w:id="7" w:name="_Toc6986"/>
      <w:r>
        <w:rPr>
          <w:rFonts w:ascii="Times New Roman" w:hAnsi="Times New Roman" w:eastAsia="宋体"/>
          <w:b/>
          <w:sz w:val="24"/>
        </w:rPr>
        <w:t>2、球杆系统动力学模型</w:t>
      </w:r>
      <w:bookmarkEnd w:id="7"/>
    </w:p>
    <w:p w14:paraId="7D3C03E8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以摆杆中心O为原点，沿右端方向为x正向；摆杆右端抬高时角度θ为正。钢球视为无滑动滚动的实心球，转动惯量I=2mr²/5。忽略小角度下的高阶耦合项，将摆杆沿自身方向的车体加速度记为a_x，由平动与转动方程可得：</w:t>
      </w:r>
    </w:p>
    <w:p w14:paraId="7D38465C">
      <w:pPr>
        <w:widowControl/>
        <w:spacing w:before="20" w:after="20" w:line="360" w:lineRule="exact"/>
        <w:ind w:firstLine="0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(m+I/r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²</m:t>
          </m:r>
          <m:r>
            <m:rPr/>
            <w:rPr>
              <w:rFonts w:hint="default" w:ascii="Cambria Math" w:hAnsi="Cambria Math" w:eastAsia="宋体"/>
              <w:sz w:val="22"/>
            </w:rPr>
            <m:t>)x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¨</m:t>
          </m:r>
          <m:r>
            <m:rPr/>
            <w:rPr>
              <w:rFonts w:hint="default" w:ascii="Cambria Math" w:hAnsi="Cambria Math" w:eastAsia="宋体"/>
              <w:sz w:val="22"/>
            </w:rPr>
            <m:t>=−m(gsinθ+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a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x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cosθ)</m:t>
          </m:r>
        </m:oMath>
      </m:oMathPara>
    </w:p>
    <w:p w14:paraId="09CB7506">
      <w:pPr>
        <w:widowControl/>
        <w:spacing w:before="20" w:after="20" w:line="360" w:lineRule="exact"/>
        <w:ind w:firstLine="0"/>
        <w:jc w:val="center"/>
      </w:pPr>
      <m:oMathPara>
        <m:oMath>
          <m:r>
            <w:rPr>
              <w:rFonts w:ascii="Cambria Math" w:hAnsi="Cambria Math" w:eastAsia="宋体" w:cstheme="minorBidi"/>
              <w:kern w:val="2"/>
              <w:sz w:val="22"/>
              <w:szCs w:val="24"/>
              <w:lang w:val="en-US" w:bidi="ar-SA"/>
            </w:rPr>
            <m:t>x¨ = -(5/7)(g sinθ + a_x cosθ) ≈ -(5/7)(gθ + a_x)</m:t>
          </m:r>
        </m:oMath>
      </m:oMathPara>
    </w:p>
    <w:p w14:paraId="6D02F03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该模型表明球杆系统本质上为双积分环节，开环时钢球不能在非水平位置稳定；小车加速产生的惯性项与重力倾角项同量纲，若只使用静态PID，起步和制动阶段会出现明显偏移。因此控制器必须包含速度反馈，并以a_x/g进行前馈抵消。摆杆沿车体纵向安装后，弯道向心加速度主要垂直于x轴，其沿杆投影仅作为有界扰动处理。</w:t>
      </w:r>
    </w:p>
    <w:p w14:paraId="562073F7">
      <w:pPr>
        <w:pStyle w:val="3"/>
        <w:keepNext/>
      </w:pPr>
      <w:bookmarkStart w:id="8" w:name="_Toc6095"/>
      <w:r>
        <w:rPr>
          <w:rFonts w:ascii="Times New Roman" w:hAnsi="Times New Roman" w:eastAsia="宋体"/>
          <w:b/>
          <w:sz w:val="24"/>
        </w:rPr>
        <w:t>3、YOLO检测、坐标映射与状态估计</w:t>
      </w:r>
      <w:bookmarkEnd w:id="8"/>
    </w:p>
    <w:p w14:paraId="7B48CDC4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K230采集640×480控制图像后先裁取仅覆盖PPR管的ROI，再以保持长宽比的letterbox方式缩放到YOLOv8n输入尺寸。AI2D完成裁剪、缩放和归一化，KPU执行kmodel推理，CPU端完成DFL解码、置信度筛选和NMS。只保留类别为steel_ball、中心位于摆杆ROI且框尺寸落在标定范围内的最高置信度目标。设网络输出框中心横坐标为u_net，缩放比例为s、横向填充为p_x、ROI左边界为u_ROI，先把坐标反映射到原始图像；再利用空槽时采集的端点和中心标记做单应性校正。</w:t>
      </w:r>
    </w:p>
    <w:p w14:paraId="7F61D790">
      <w:pPr>
        <w:widowControl/>
        <w:spacing w:before="20" w:after="20" w:line="360" w:lineRule="exact"/>
        <w:ind w:firstLine="0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u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ₖ</m:t>
          </m:r>
          <m:r>
            <m:rPr/>
            <w:rPr>
              <w:rFonts w:hint="default" w:ascii="Cambria Math" w:hAnsi="Cambria Math" w:eastAsia="宋体"/>
              <w:sz w:val="22"/>
            </w:rPr>
            <m:t>=(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u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n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et,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ₖ</m:t>
          </m:r>
          <m:r>
            <m:rPr/>
            <w:rPr>
              <w:rFonts w:hint="default" w:ascii="Cambria Math" w:hAnsi="Cambria Math" w:eastAsia="宋体"/>
              <w:sz w:val="22"/>
            </w:rPr>
            <m:t>−p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ₓ</m:t>
          </m:r>
          <m:r>
            <m:rPr/>
            <w:rPr>
              <w:rFonts w:hint="default" w:ascii="Cambria Math" w:hAnsi="Cambria Math" w:eastAsia="宋体"/>
              <w:sz w:val="22"/>
            </w:rPr>
            <m:t>)/s+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u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OI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，</m:t>
          </m:r>
          <m:r>
            <m:rPr/>
            <w:rPr>
              <w:rFonts w:hint="default" w:ascii="Cambria Math" w:hAnsi="Cambria Math" w:eastAsia="宋体"/>
              <w:sz w:val="22"/>
            </w:rPr>
            <m:t>x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ₖ</m:t>
          </m:r>
          <m:r>
            <m:rPr/>
            <w:rPr>
              <w:rFonts w:hint="default" w:ascii="Cambria Math" w:hAnsi="Cambria Math" w:eastAsia="宋体"/>
              <w:sz w:val="22"/>
            </w:rPr>
            <m:t>=k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ₓ</m:t>
          </m:r>
          <m:r>
            <m:rPr/>
            <w:rPr>
              <w:rFonts w:hint="default" w:ascii="Cambria Math" w:hAnsi="Cambria Math" w:eastAsia="宋体"/>
              <w:sz w:val="22"/>
            </w:rPr>
            <m:t>(u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ₖʳᵉᶜᵗ</m:t>
          </m:r>
          <m:r>
            <m:rPr/>
            <w:rPr>
              <w:rFonts w:hint="default" w:ascii="Cambria Math" w:hAnsi="Cambria Math" w:eastAsia="宋体"/>
              <w:sz w:val="22"/>
            </w:rPr>
            <m:t>−uO)</m:t>
          </m:r>
        </m:oMath>
      </m:oMathPara>
    </w:p>
    <w:p w14:paraId="7519540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其中uₖʳᵉᶜᵗ为透视校正后的横坐标，uO为摆杆中心像素，kₓ为cm/pixel比例系数。每帧输出序号、采集时间戳、xₖ、置信度、检测框宽高和状态字，并以CRC保护UART报文。YOLO更新频率低于200 Hz控制频率，因此MSPM0采用α-β观测器：新报文到达时先检查时间戳、CRC、置信度、框尺寸及最大允许位移，再用位置残差校正x和ẋ；两帧之间按匀速模型预测。连续丢失3帧或报文超时后冻结积分、降低车速并将摆杆缓慢回零。ROI、letterbox参数、单应矩阵、uO、kₓ、置信度和NMS阈值均版本化保存，上电时只需完成中心点与模型版本复核。</w:t>
      </w:r>
    </w:p>
    <w:p w14:paraId="2D760FCF">
      <w:pPr>
        <w:pStyle w:val="3"/>
        <w:keepNext/>
      </w:pPr>
      <w:bookmarkStart w:id="9" w:name="_Toc9637"/>
      <w:r>
        <w:rPr>
          <w:rFonts w:ascii="Times New Roman" w:hAnsi="Times New Roman" w:eastAsia="宋体"/>
          <w:b/>
          <w:sz w:val="24"/>
        </w:rPr>
        <w:t>4、双闭环与抗扰控制</w:t>
      </w:r>
      <w:bookmarkEnd w:id="9"/>
    </w:p>
    <w:p w14:paraId="2B842E69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定义位置误差e=x-xr，其中xr为目标位置。外环由位置误差、估计速度和误差积分生成期望摆角，并加入纵向加速度前馈；内环利用舵机角度标定表将期望摆角换算为PWM。控制律写为：</w:t>
      </w:r>
    </w:p>
    <w:p w14:paraId="2053816C">
      <w:pPr>
        <w:widowControl/>
        <w:spacing w:before="20" w:after="20" w:line="360" w:lineRule="exact"/>
        <w:ind w:firstLine="0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θd=Kpe+Kdx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̇</m:t>
          </m:r>
          <m:r>
            <m:rPr/>
            <w:rPr>
              <w:rFonts w:hint="default" w:ascii="Cambria Math" w:hAnsi="Cambria Math" w:eastAsia="宋体"/>
              <w:sz w:val="22"/>
            </w:rPr>
            <m:t>+Ki∫edt−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a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x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/g</m:t>
          </m:r>
        </m:oMath>
      </m:oMathPara>
    </w:p>
    <w:p w14:paraId="01E6F708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当x偏向正方向时θd增大，右端抬高，钢球获得负向加速度，符号关系与模型一致。θd限制在±8°，同时设置摆角变化率上限；输出饱和时暂停积分，进入±0.3 cm死区后逐步衰减积分。静态往返任务不直接施加阶跃，而以S形轨迹将xr从0平滑移动到+5 cm；当|e|≤0.5 cm且持续100 ms后反向至-5 cm。动态任务中目标位置固定，弯道降速并保持控制器连续工作。任意指定位置通过按键以0.1 cm步进设定，软件限位为±10 cm，给摆杆端部预留安全距离。</w:t>
      </w:r>
    </w:p>
    <w:p w14:paraId="0E1D6C42">
      <w:pPr>
        <w:pStyle w:val="2"/>
        <w:keepNext/>
      </w:pPr>
      <w:bookmarkStart w:id="10" w:name="_Toc28641"/>
      <w:r>
        <w:rPr>
          <w:rFonts w:ascii="Times New Roman" w:hAnsi="Times New Roman" w:eastAsia="宋体"/>
          <w:b/>
          <w:sz w:val="28"/>
        </w:rPr>
        <w:t>三、电路与程序设计</w:t>
      </w:r>
      <w:bookmarkEnd w:id="10"/>
    </w:p>
    <w:p w14:paraId="23074402">
      <w:pPr>
        <w:pStyle w:val="3"/>
        <w:keepNext/>
      </w:pPr>
      <w:bookmarkStart w:id="11" w:name="_Toc31785"/>
      <w:r>
        <w:rPr>
          <w:rFonts w:ascii="Times New Roman" w:hAnsi="Times New Roman" w:eastAsia="宋体"/>
          <w:b/>
          <w:sz w:val="24"/>
        </w:rPr>
        <w:t>1、控制电路与硬件连接</w:t>
      </w:r>
      <w:bookmarkEnd w:id="11"/>
    </w:p>
    <w:p w14:paraId="2724D70D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主控制器选用MSPM0G3507，定时器输出两路电机PWM和一路舵机PWM，捕获单元读取左右编码器，ADC/数字输入采集七路红外阵列，I²C连接1.3英寸显示屏。K230视觉模块连接MIPI CSI摄像头，运行CanMV/RT-Smart侧的YOLOv8n kmodel，并通过3.3 V UART以不低于460800 bit/s向MSPM0发送序号、时间戳、球位、置信度、框尺寸、状态和CRC；MSPM0只接受校验通过且时间新鲜的报文。电机驱动采用双H桥TB6612FNG；独立图传发送模块和摄像头使用另一条5 V支路，接收端连接显示存储设备完成实时显示与录像。</w:t>
      </w:r>
    </w:p>
    <w:p w14:paraId="323C5463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电池经总开关后分为电机、舵机、K230视觉和逻辑支路。电机与舵机支路分别配置大容量低ESR电容；K230按所选板卡的峰值电流预留独立5 V/2 A同步降压和近端储能，MSPM0及传感器由低噪声逻辑电源供电。各支路单点汇接地，K230与MSPM0的UART共地并串联小电阻，摄像头排线远离电机与舵机回流路径。电机端并联抑制电容，K230支路监测欠压复位和启动浪涌，降低换向尖峰、供电跌落和地弹噪声对模型推理、相机曝光及串口通信的影响。</w:t>
      </w:r>
    </w:p>
    <w:p w14:paraId="19C36398">
      <w:pPr>
        <w:pStyle w:val="3"/>
        <w:keepNext/>
      </w:pPr>
      <w:bookmarkStart w:id="12" w:name="_Toc970"/>
      <w:r>
        <w:rPr>
          <w:rFonts w:ascii="Times New Roman" w:hAnsi="Times New Roman" w:eastAsia="宋体"/>
          <w:b/>
          <w:sz w:val="24"/>
        </w:rPr>
        <w:t>2、程序结构与时序</w:t>
      </w:r>
      <w:bookmarkEnd w:id="12"/>
    </w:p>
    <w:p w14:paraId="45AFAEE7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软件采用双处理器异步多速率调度。MSPM0的1 kHz中断完成系统时基和编码器增量采样；200 Hz任务运行轮速环、循迹外环、球杆状态预测及舵机输出；100 Hz任务维护模式状态机和显示。K230独立执行“采集ROI—letterbox—AI2D—KPU推理—DFL解码/NMS—坐标</w:t>
      </w:r>
      <w:bookmarkStart w:id="21" w:name="_GoBack"/>
      <w:bookmarkEnd w:id="21"/>
      <w:r>
        <w:rPr>
          <w:rFonts w:ascii="Times New Roman" w:hAnsi="Times New Roman" w:eastAsia="宋体"/>
          <w:sz w:val="24"/>
        </w:rPr>
        <w:t>反映射—UART发送”，视觉输出目标为30～50 Hz，实际更新率与端到端延迟须在表B-1中实测。MSPM0每次收到新报文时进行观测校正，无新报文时继续预测；所有量均带序号和采集时间戳，避免把推理或通信滞后的坐标作为当前测量。主程序流程如图2所示。</w:t>
      </w:r>
    </w:p>
    <w:p w14:paraId="6AF1139D">
      <w:pPr>
        <w:keepNext/>
        <w:spacing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66720"/>
            <wp:effectExtent l="0" t="0" r="1905" b="5080"/>
            <wp:docPr id="5" name="图片 5" descr="122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2212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71DD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 主程序与多速率控制流程</w:t>
      </w:r>
    </w:p>
    <w:p w14:paraId="3D7138E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任务2在一圈里程门限后允许识别A点启停线并执行制动；任务3按“到+5 cm-判稳-转向-到-5 cm-保持”推进；任务4只记录通过B点前的运行状态；任务5和任务6在再次通过A点时锁存总时间，但球杆控制继续运行，避免测试终点突然制动造成超差。显示屏持续显示模式、目标位置、当前球位和计时值，启动按键沿同时清零计时器和里程。</w:t>
      </w:r>
    </w:p>
    <w:p w14:paraId="64637F68">
      <w:pPr>
        <w:pStyle w:val="3"/>
        <w:keepNext/>
      </w:pPr>
      <w:bookmarkStart w:id="13" w:name="_Toc24362"/>
      <w:r>
        <w:rPr>
          <w:rFonts w:ascii="Times New Roman" w:hAnsi="Times New Roman" w:eastAsia="宋体"/>
          <w:b/>
          <w:sz w:val="24"/>
        </w:rPr>
        <w:t>3、标定、限幅与故障处理</w:t>
      </w:r>
      <w:bookmarkEnd w:id="13"/>
    </w:p>
    <w:p w14:paraId="011F201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装调依次完成红外零点、左右轮速比例、摆杆水平角、K230相机ROI与曝光、letterbox反映射、单应性/像素比例、YOLO置信度与NMS阈值以及启停线制动距离标定。YOLO阈值必须依据独立验证集和板端连续视频选择，不能为提高单次检出率而取消尺寸、位置和时序门限。若模型版本不符、CRC错误、置信度低、检测框跳变、钢球越过±11 cm软边界、K230报文超时或主电池欠压，系统立即冻结积分并降低车速，摆杆回到安全角；严重故障时停止电机但保持图传和故障日志，便于复盘。调参顺序为先验证K230坐标和延迟，再闭合轮速环与循迹环，随后在静止小车上调球杆PD，最后加入小积分和加速度前馈。</w:t>
      </w:r>
    </w:p>
    <w:p w14:paraId="19435C33">
      <w:pPr>
        <w:pStyle w:val="2"/>
        <w:keepNext/>
      </w:pPr>
      <w:bookmarkStart w:id="14" w:name="_Toc20276"/>
      <w:r>
        <w:rPr>
          <w:rFonts w:ascii="Times New Roman" w:hAnsi="Times New Roman" w:eastAsia="宋体"/>
          <w:b/>
          <w:sz w:val="28"/>
        </w:rPr>
        <w:t>四、测试方案与测试结果</w:t>
      </w:r>
      <w:bookmarkEnd w:id="14"/>
    </w:p>
    <w:p w14:paraId="06D63574">
      <w:pPr>
        <w:pStyle w:val="3"/>
        <w:keepNext/>
      </w:pPr>
      <w:bookmarkStart w:id="15" w:name="_Toc11716"/>
      <w:r>
        <w:rPr>
          <w:rFonts w:ascii="Times New Roman" w:hAnsi="Times New Roman" w:eastAsia="宋体"/>
          <w:b/>
          <w:sz w:val="24"/>
        </w:rPr>
        <w:t>1、测试条件与仪器</w:t>
      </w:r>
      <w:bookmarkEnd w:id="15"/>
    </w:p>
    <w:p w14:paraId="0AECD927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测试前核对车身外廓不超过35 cm×25 cm、摆杆不超出车身、25 cm PPR管内壁保持原状且整车由车载电池供电。测试场地按题图制作：黑线宽1.8±0.2 cm，AB、CD直线段各1.5 m，BC、DA为半径0.5 m的半圆。测试前冻结K230固件、kmodel、标签、ROI、曝光、置信度/NMS阈值和坐标标定版本；直尺测量停车偏差，秒表与车载计时交叉校验，串口日志记录YOLO序号、时间戳、置信度和球位。图传接收端置于环形线路外，电脑检查画面连续性、录像文件和回放。每项至少连续测试5次；更换模型、摄像头、支架、电池或调整机构后必须重新复核标定，不选择性删除失败数据。</w:t>
      </w:r>
    </w:p>
    <w:p w14:paraId="4D29D3E9">
      <w:pPr>
        <w:pStyle w:val="3"/>
        <w:keepNext/>
      </w:pPr>
      <w:bookmarkStart w:id="16" w:name="_Toc9851"/>
      <w:r>
        <w:rPr>
          <w:rFonts w:ascii="Times New Roman" w:hAnsi="Times New Roman" w:eastAsia="宋体"/>
          <w:b/>
          <w:sz w:val="24"/>
        </w:rPr>
        <w:t>2、测试步骤与数据处理</w:t>
      </w:r>
      <w:bookmarkEnd w:id="16"/>
    </w:p>
    <w:p w14:paraId="1B159FEC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先在静止摆杆的中心、±5 cm和接近软边界位置验证YOLO检测成功率、视觉更新频率、端到端延迟及坐标误差，再分别闭合循迹和球杆控制，最后进行整车联调。检测成功率以有效YOLO报文数除以应处理帧数计算，端到端延迟由K230采集时间戳与MSPM0接收时间戳之差统计，位置误差以标尺真值为基准；相应原始结果填入表B-1。动态位置最大误差取控制日志中|max(x-xr)|的最大值，停车偏差按小车指定测试点到A点停车基准线的绝对距离记录；时间从启动按键有效沿开始，到对应过点或停车事件结束。各任务保留5次独立试验、最不利值和原始日志。</w:t>
      </w:r>
    </w:p>
    <w:p w14:paraId="6DC8FD86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color w:val="C00000"/>
          <w:sz w:val="21"/>
        </w:rPr>
        <w:t>数据说明：当前未提供实物测试记录，以下“待实测”必须在提交前替换为原始测量值，并据此更新摘要与结论。</w:t>
      </w:r>
    </w:p>
    <w:p w14:paraId="46CD7021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表B-1 K230-YOLO视觉与图传装置测试结果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0D76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FAE0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8650C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D2F20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4240B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A2A20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94F18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7F5F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F3B7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连续显示/录像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629B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59E53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7CE43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7E604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EB38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0D85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5A57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画面是否覆盖全摆杆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18CDA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8BB52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6EDA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72480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B70FA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2EC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940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是否可完整回放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9E51D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14FA9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B69B0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EB3A9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559B1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6D65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7297B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连续序列检测成功率/%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A4081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8B2AB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BFCC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4E3A9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C086A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6F4D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C9869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有效视觉更新频率/fps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24D9F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6BEA2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1452C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D1A6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54ED6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79A7A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F4681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端到端延迟/ms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78995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AB39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1E06C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9CAF7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953FB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5C30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5E2C7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固定点位置最大误差/cm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9E838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503AF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B9CA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58F33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D6AE2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5067D724">
      <w:pPr>
        <w:spacing w:before="20" w:after="0"/>
      </w:pPr>
    </w:p>
    <w:p w14:paraId="2212C1A0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表B-2 循迹一圈及A点停车测试结果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26DF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6985D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89BC7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7F4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7E9E7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1113A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D7368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4526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9B3B9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40172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28B7F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C6E11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50596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B4F63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5A72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01CEC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停车偏差/cm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DE02E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10606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35B2A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952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BFE7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7A2DCB32">
      <w:pPr>
        <w:spacing w:before="20" w:after="0"/>
      </w:pPr>
    </w:p>
    <w:p w14:paraId="5AB26EDF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表B-3 静态O→+5 cm→-5 cm测试结果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4B67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88C4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32CA3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BB448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B35E5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C386B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B77F8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5480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AC45B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674C3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90275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8C100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16AB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0E1D2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EA82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DF0C3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+5 cm最大误差/cm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03C6C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8DB14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4F8A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7DF34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964CC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7393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D842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-5 cm最大误差/cm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482A5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0BE0A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3407E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9EEF9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3FC5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1EFC8EF7">
      <w:pPr>
        <w:spacing w:before="20" w:after="0"/>
      </w:pPr>
    </w:p>
    <w:p w14:paraId="084D431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表B-4 A-B段动态中心稳定测试结果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565A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7C21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6631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1EF92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74719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7433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0656F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277F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CED6A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AB时间/s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147B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D296D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C748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A574E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3CF2C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866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84F46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4C5A8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0D8B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49BC0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BF987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FDE2E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69C190D3">
      <w:pPr>
        <w:spacing w:before="20" w:after="0"/>
      </w:pPr>
    </w:p>
    <w:p w14:paraId="20EC44A1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表B-5 一圈动态中心稳定测试结果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669A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CBC43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9387A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37254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72E48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CD3E5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6B6F4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20C5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9D9FC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整圈时间/s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E5ED2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4F55D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CE97E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7779C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46FE4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400D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59D42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636FF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B3942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50A46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7D012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F3BC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5F1035D5">
      <w:pPr>
        <w:spacing w:before="20" w:after="0"/>
      </w:pPr>
    </w:p>
    <w:p w14:paraId="73044244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表B-6 一圈任意指定位置稳定测试结果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950"/>
        <w:gridCol w:w="1900"/>
        <w:gridCol w:w="1900"/>
        <w:gridCol w:w="1600"/>
      </w:tblGrid>
      <w:tr w14:paraId="681E8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BC144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目标位置</w:t>
            </w:r>
          </w:p>
        </w:tc>
        <w:tc>
          <w:tcPr>
            <w:tcW w:w="9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FECB8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9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E74DB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整圈时间/s</w:t>
            </w:r>
          </w:p>
        </w:tc>
        <w:tc>
          <w:tcPr>
            <w:tcW w:w="19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AA563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最大误差/cm</w:t>
            </w:r>
          </w:p>
        </w:tc>
        <w:tc>
          <w:tcPr>
            <w:tcW w:w="16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755F2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是否脱轨</w:t>
            </w:r>
          </w:p>
        </w:tc>
      </w:tr>
      <w:tr w14:paraId="1B494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6D33A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D55BE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525F1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E5508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54631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1376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C900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3BD92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D4871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C4116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5752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2E1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70217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0F727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5B42C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54844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B48B8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0078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CB0F5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5010A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C8426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2CEE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38677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12AD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1C0DF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56307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8448C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C53F9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CB6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6930C954">
      <w:pPr>
        <w:spacing w:before="20" w:after="0"/>
      </w:pPr>
    </w:p>
    <w:p w14:paraId="4F2DA80C">
      <w:pPr>
        <w:pStyle w:val="3"/>
        <w:keepNext/>
      </w:pPr>
      <w:bookmarkStart w:id="17" w:name="_Toc24014"/>
      <w:r>
        <w:rPr>
          <w:rFonts w:ascii="Times New Roman" w:hAnsi="Times New Roman" w:eastAsia="宋体"/>
          <w:b/>
          <w:sz w:val="24"/>
        </w:rPr>
        <w:t>3、判定方法与误差分析</w:t>
      </w:r>
      <w:bookmarkEnd w:id="17"/>
    </w:p>
    <w:p w14:paraId="2A33F7FB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任务2以5次总时间的最大值不超过20 s、停车偏差最大值不超过2 cm为通过；任务3同时检查运行时间、+5 cm与-5 cm两处最大误差；任务4至任务6按相应时间上限和1 cm位置误差上限逐次判定。若某次投影完全脱离轨迹线，应保留该次记录并标为失败。视觉误差主要来自YOLO标注中心偏差、钢球高光和运动模糊、INT8量化差异、ROI/letterbox反映射错误、单应性残差、检测框抖动、推理与UART延迟以及模型跨光照泛化不足；控制侧还受舵机回差、轮胎打滑和电池电压变化影响。可通过按视频序列划分数据、亮度/模糊增强、固定曝光、ONNX与kmodel逐层或输出对比、时间戳补偿、尺寸/位移门限、α-β观测、同向逼近消除回差、弯道限速和电压补偿减小影响。</w:t>
      </w:r>
    </w:p>
    <w:p w14:paraId="28885EA5">
      <w:pPr>
        <w:pStyle w:val="2"/>
        <w:keepNext/>
      </w:pPr>
      <w:bookmarkStart w:id="18" w:name="_Toc30557"/>
      <w:r>
        <w:rPr>
          <w:rFonts w:ascii="Times New Roman" w:hAnsi="Times New Roman" w:eastAsia="宋体"/>
          <w:b/>
          <w:sz w:val="28"/>
        </w:rPr>
        <w:t>五、结论与改进</w:t>
      </w:r>
      <w:bookmarkEnd w:id="18"/>
    </w:p>
    <w:p w14:paraId="60A888DB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本设计围绕H题评分项完成了循迹底盘、K230-YOLO球位检测、球杆动力学建模、双闭环抗扰控制、图传记录和测试判据的系统化设计。K230利用AI2D与KPU运行单类别YOLOv8n，通过置信度/NMS、检测框尺寸和时序门限获得钢球框中心，并经坐标反映射、单应性标定与带时间戳UART向MSPM0提供球位观测；控制器在视觉帧间进行α-β预测，从而把异步AI推理与200 Hz球杆控制解耦。机械方案利用球杆纵向布置减小弯道横向加速度耦合，并以位置-速度反馈和纵向加速度前馈降低起步、制动扰动。最终检测成功率、视觉更新率、端到端延迟及任务误差必须以表B-1至表B-6和原始日志为准。若动态误差仍接近1 cm上限，应优先增加难例数据、校正letterbox反映射和延迟，再考虑缩小模型输入或调整控制增益，不能以降低安全门限换取表面检出率。</w:t>
      </w:r>
    </w:p>
    <w:p w14:paraId="1D9CF29D">
      <w:pPr>
        <w:pStyle w:val="2"/>
        <w:keepNext/>
      </w:pPr>
      <w:bookmarkStart w:id="19" w:name="_Toc16458"/>
      <w:r>
        <w:rPr>
          <w:rFonts w:ascii="Times New Roman" w:hAnsi="Times New Roman" w:eastAsia="宋体"/>
          <w:b/>
          <w:sz w:val="28"/>
        </w:rPr>
        <w:t>六、参考文献</w:t>
      </w:r>
      <w:bookmarkEnd w:id="19"/>
    </w:p>
    <w:p w14:paraId="63723DD2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[1] 2026年全国大学生电子设计竞赛组委会. 车载平衡滚球运动控制系统（H题）[Z]. 2026.</w:t>
      </w:r>
    </w:p>
    <w:p w14:paraId="71B8E491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[2] 胡寿松. 自动控制原理[M]. 北京: 科学出版社.</w:t>
      </w:r>
    </w:p>
    <w:p w14:paraId="65EE63C2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[3] 刘金琨. 先进PID控制及其MATLAB仿真[M]. 北京: 电子工业出版社.</w:t>
      </w:r>
    </w:p>
    <w:p w14:paraId="491BCFDE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[4] 王福瑞. 单片微机测控系统设计大全[M]. 北京: 北京航空航天大学出版社.</w:t>
      </w:r>
    </w:p>
    <w:p w14:paraId="68F4D737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[5] Texas Instruments. MSPM0G350x Mixed-Signal Microcontrollers Data Sheet[EB/OL].</w:t>
      </w:r>
    </w:p>
    <w:p w14:paraId="0118BBD9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[6] Canaan. CanMV-K230 Documentation and AI Development Guide[EB/OL].</w:t>
      </w:r>
    </w:p>
    <w:p w14:paraId="74FCDB2C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[7] Kendryte. nncase: Neural Network Compiler for Kendryte AI Accelerators[EB/OL].</w:t>
      </w:r>
    </w:p>
    <w:p w14:paraId="7A0A3289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[8] Ultralytics. YOLOv8 Object Detection Documentation[EB/OL].</w:t>
      </w:r>
    </w:p>
    <w:p w14:paraId="651CC720">
      <w:pPr>
        <w:pStyle w:val="2"/>
        <w:keepNext/>
      </w:pPr>
      <w:bookmarkStart w:id="20" w:name="_Toc26661"/>
      <w:r>
        <w:rPr>
          <w:rFonts w:ascii="Times New Roman" w:hAnsi="Times New Roman" w:eastAsia="宋体"/>
          <w:b/>
          <w:sz w:val="28"/>
        </w:rPr>
        <w:t>附录：核心控制伪代码</w:t>
      </w:r>
      <w:bookmarkEnd w:id="20"/>
    </w:p>
    <w:p w14:paraId="21E27D86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每1 ms: 更新系统时基与编码器计数</w:t>
      </w:r>
    </w:p>
    <w:p w14:paraId="636CB804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每5 ms: 计算轮速PID、循迹PID和球杆预测状态</w:t>
      </w:r>
    </w:p>
    <w:p w14:paraId="3E6C6ACF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K230每帧: ROI/letterbox -&gt; AI2D -&gt; KPU -&gt; DFL/NMS -&gt; 坐标反映射 -&gt; UART报文</w:t>
      </w:r>
    </w:p>
    <w:p w14:paraId="10086666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若收到K230报文: 校验序号/时间戳/CRC/置信度/框尺寸，更新α-β观测器</w:t>
      </w:r>
    </w:p>
    <w:p w14:paraId="389898AF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e = x - x_ref</w:t>
      </w:r>
    </w:p>
    <w:p w14:paraId="216801F0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theta_cmd = Kp*e + Kd*x_dot + Ki*integral - a_long/g</w:t>
      </w:r>
    </w:p>
    <w:p w14:paraId="27FA565E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theta_cmd = rate_limit(clamp(theta_cmd, -8 deg, +8 deg))</w:t>
      </w:r>
    </w:p>
    <w:p w14:paraId="201C8B26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若YOLO低置信度、报文超时或输出饱和: 冻结积分并进入安全策略</w:t>
      </w:r>
    </w:p>
    <w:p w14:paraId="0B7C4A4B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按任务状态机处理启停线、+5 cm到位、-5 cm稳定及A点过线</w:t>
      </w:r>
    </w:p>
    <w:sectPr>
      <w:headerReference r:id="rId9" w:type="default"/>
      <w:footerReference r:id="rId10" w:type="default"/>
      <w:pgSz w:w="11906" w:h="16838"/>
      <w:pgMar w:top="1871" w:right="1800" w:bottom="1440" w:left="1800" w:header="851" w:footer="992" w:gutter="0"/>
      <w:pgNumType w:fmt="decimal" w:start="1"/>
      <w:cols w:space="0" w:num="1"/>
      <w:docGrid w:type="lines" w:linePitch="31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E5D2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1E7C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CE094">
    <w:pPr>
      <w:spacing w:before="0" w:after="0"/>
      <w:jc w:val="right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6767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5318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0AB9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627CD"/>
    <w:rsid w:val="00181CA8"/>
    <w:rsid w:val="001C2617"/>
    <w:rsid w:val="002257C3"/>
    <w:rsid w:val="00255E12"/>
    <w:rsid w:val="002703A7"/>
    <w:rsid w:val="002929E7"/>
    <w:rsid w:val="002973B4"/>
    <w:rsid w:val="002A34D6"/>
    <w:rsid w:val="00311C74"/>
    <w:rsid w:val="00314F0F"/>
    <w:rsid w:val="003352BE"/>
    <w:rsid w:val="003566D1"/>
    <w:rsid w:val="0037662A"/>
    <w:rsid w:val="00381BD0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473BB"/>
    <w:rsid w:val="00563129"/>
    <w:rsid w:val="005709C3"/>
    <w:rsid w:val="00574871"/>
    <w:rsid w:val="00584F33"/>
    <w:rsid w:val="0059267C"/>
    <w:rsid w:val="005D7EFA"/>
    <w:rsid w:val="005E6F0D"/>
    <w:rsid w:val="00666322"/>
    <w:rsid w:val="00675D33"/>
    <w:rsid w:val="006C2F20"/>
    <w:rsid w:val="007541A8"/>
    <w:rsid w:val="007618D0"/>
    <w:rsid w:val="00764373"/>
    <w:rsid w:val="00767A71"/>
    <w:rsid w:val="007733F2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26804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46FCC"/>
    <w:rsid w:val="00D7067E"/>
    <w:rsid w:val="00D71CCA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3027C7"/>
    <w:rsid w:val="065177D6"/>
    <w:rsid w:val="06825098"/>
    <w:rsid w:val="06B0346E"/>
    <w:rsid w:val="06D1248D"/>
    <w:rsid w:val="07114FC0"/>
    <w:rsid w:val="07540525"/>
    <w:rsid w:val="07571D14"/>
    <w:rsid w:val="07624D85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C84414"/>
    <w:rsid w:val="1DDD33C7"/>
    <w:rsid w:val="1DFA1DBC"/>
    <w:rsid w:val="1E0F1018"/>
    <w:rsid w:val="1E707ECB"/>
    <w:rsid w:val="1FB04D07"/>
    <w:rsid w:val="206465C4"/>
    <w:rsid w:val="21E16D36"/>
    <w:rsid w:val="22095524"/>
    <w:rsid w:val="22BA1468"/>
    <w:rsid w:val="235B7F52"/>
    <w:rsid w:val="246F1DB3"/>
    <w:rsid w:val="259E2718"/>
    <w:rsid w:val="263B7B93"/>
    <w:rsid w:val="2674125F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60" w:after="0" w:line="440" w:lineRule="exact"/>
      <w:ind w:left="0" w:firstLine="0"/>
      <w:jc w:val="left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0" w:after="0" w:line="440" w:lineRule="exact"/>
      <w:ind w:left="0" w:firstLine="0"/>
      <w:jc w:val="lef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1 字符"/>
    <w:basedOn w:val="12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9">
    <w:name w:val="heading 3"/>
    <w:qFormat/>
    <w:uiPriority w:val="0"/>
    <w:pPr>
      <w:keepNext/>
      <w:spacing w:before="20" w:after="0" w:line="440" w:lineRule="exact"/>
      <w:ind w:left="0" w:firstLine="0"/>
      <w:jc w:val="left"/>
    </w:pPr>
    <w:rPr>
      <w:rFonts w:ascii="Times New Roman" w:hAnsi="Times New Roman" w:eastAsia="宋体" w:cs="Times New Roman"/>
      <w:b/>
      <w:sz w:val="24"/>
    </w:rPr>
  </w:style>
  <w:style w:type="paragraph" w:customStyle="1" w:styleId="20">
    <w:name w:val="TOC 1"/>
    <w:qFormat/>
    <w:uiPriority w:val="0"/>
    <w:pPr>
      <w:spacing w:before="0" w:after="0" w:line="360" w:lineRule="exact"/>
      <w:ind w:left="0" w:firstLine="0"/>
    </w:pPr>
    <w:rPr>
      <w:rFonts w:ascii="Times New Roman" w:hAnsi="Times New Roman" w:eastAsia="宋体" w:cs="Times New Roman"/>
      <w:sz w:val="21"/>
    </w:rPr>
  </w:style>
  <w:style w:type="paragraph" w:customStyle="1" w:styleId="21">
    <w:name w:val="TOC 2"/>
    <w:qFormat/>
    <w:uiPriority w:val="0"/>
    <w:pPr>
      <w:spacing w:before="0" w:after="0" w:line="360" w:lineRule="exact"/>
      <w:ind w:left="420" w:firstLine="0"/>
    </w:pPr>
    <w:rPr>
      <w:rFonts w:ascii="Times New Roman" w:hAnsi="Times New Roman" w:eastAsia="宋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6278</Words>
  <Characters>7654</Characters>
  <Lines>81</Lines>
  <Paragraphs>22</Paragraphs>
  <TotalTime>3</TotalTime>
  <ScaleCrop>false</ScaleCrop>
  <LinksUpToDate>false</LinksUpToDate>
  <CharactersWithSpaces>7887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2017-08-07T08:49:00Z</dcterms:created>
  <dc:creator>匡君威</dc:creator>
  <dc:description>在原技术初稿基础上将钢球视觉定位统一替换为K230运行YOLOv8n方案</dc:description>
  <cp:lastModifiedBy>匡君威</cp:lastModifiedBy>
  <dcterms:modified xsi:type="dcterms:W3CDTF">2026-07-30T02:13:17Z</dcterms:modified>
  <dc:subject>2026年全国大学生电子设计竞赛设计报告</dc:subject>
  <dc:title>车载平衡滚球运动控制系统（H题）K230-YOLO版</dc:title>
  <cp:revision>163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eyJoZGlkIjoiMTNmM2QyNTA1MjE5ZjM4Zjk1ZDY4YzY2YTczOTI5OTciLCJ1c2VySWQiOiI0MjM4ODMxMjQifQ==</vt:lpwstr>
  </property>
  <property fmtid="{D5CDD505-2E9C-101B-9397-08002B2CF9AE}" pid="3" name="KSOProductBuildVer">
    <vt:lpwstr>2052-12.1.0.23122</vt:lpwstr>
  </property>
  <property fmtid="{D5CDD505-2E9C-101B-9397-08002B2CF9AE}" pid="4" name="ICV">
    <vt:lpwstr>55F3E914331D4342A73257E61E9E06E2_12</vt:lpwstr>
  </property>
</Properties>
</file>