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E0617">
      <w:pPr>
        <w:spacing w:before="440" w:after="880"/>
        <w:jc w:val="center"/>
      </w:pPr>
      <w:r>
        <w:rPr>
          <w:rFonts w:ascii="Times New Roman" w:hAnsi="Times New Roman" w:eastAsia="宋体"/>
          <w:sz w:val="48"/>
        </w:rPr>
        <w:t>2026年全国大学生电子设计竞赛</w:t>
      </w:r>
    </w:p>
    <w:p w14:paraId="6120378B">
      <w:pPr>
        <w:spacing w:after="2440"/>
        <w:jc w:val="center"/>
      </w:pPr>
      <w:r>
        <w:rPr>
          <w:rFonts w:ascii="Times New Roman" w:hAnsi="Times New Roman" w:eastAsia="宋体"/>
          <w:b/>
          <w:color w:val="FF0000"/>
          <w:sz w:val="36"/>
        </w:rPr>
        <w:t>车载平衡滚球运动控制系统</w:t>
      </w:r>
      <w:r>
        <w:rPr>
          <w:rFonts w:ascii="Times New Roman" w:hAnsi="Times New Roman" w:eastAsia="宋体"/>
          <w:b/>
          <w:sz w:val="36"/>
        </w:rPr>
        <w:t>（H题）</w:t>
      </w:r>
    </w:p>
    <w:p w14:paraId="41A47259">
      <w:pPr>
        <w:spacing w:after="2100" w:line="240" w:lineRule="auto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24000" cy="1030605"/>
            <wp:effectExtent l="0" t="0" r="0" b="5715"/>
            <wp:docPr id="1" name="图片 1" descr="contest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ntest_log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2FA2">
      <w:pPr>
        <w:spacing w:after="360"/>
        <w:jc w:val="center"/>
      </w:pPr>
      <w:r>
        <w:rPr>
          <w:rFonts w:ascii="Times New Roman" w:hAnsi="Times New Roman" w:eastAsia="宋体"/>
          <w:b/>
          <w:color w:val="7F6000"/>
          <w:sz w:val="28"/>
        </w:rPr>
        <w:t>填写通用模板</w:t>
      </w:r>
    </w:p>
    <w:p w14:paraId="6FD7918D">
      <w:pPr>
        <w:jc w:val="center"/>
      </w:pPr>
      <w:r>
        <w:rPr>
          <w:rFonts w:ascii="Times New Roman" w:hAnsi="Times New Roman" w:eastAsia="宋体"/>
          <w:b/>
          <w:sz w:val="32"/>
        </w:rPr>
        <w:t>2026年8月</w:t>
      </w:r>
      <w:r>
        <w:rPr>
          <w:rFonts w:ascii="Times New Roman" w:hAnsi="Times New Roman" w:eastAsia="宋体"/>
          <w:b/>
          <w:color w:val="C00000"/>
          <w:sz w:val="32"/>
        </w:rPr>
        <w:t>【请填写日期】</w:t>
      </w:r>
      <w:r>
        <w:br w:type="page"/>
      </w:r>
    </w:p>
    <w:p w14:paraId="2A3B7C3C">
      <w:pPr>
        <w:widowControl/>
        <w:spacing w:before="0" w:after="0" w:line="440" w:lineRule="exact"/>
        <w:ind w:firstLine="0"/>
        <w:jc w:val="both"/>
      </w:pPr>
      <w:r>
        <w:rPr>
          <w:b/>
          <w:color w:val="000000"/>
        </w:rPr>
        <w:t>摘要：</w:t>
      </w:r>
      <w:r>
        <w:rPr>
          <w:b w:val="0"/>
          <w:color w:val="000000"/>
        </w:rPr>
        <w:t>本阶段面向H题车载平衡滚球系统，按底盘循迹与滚球调节相对独立的思路完成总体方案。底盘以MSPM0G3507为主控，八路红外模块经逐路标定和归一化形成横向偏差，方向环、角速度环和轮速环驱动AT8236及两台MG513X电机。滚球端由MaixCAM Pro采集640x480图像，在固定ROI内通过灰度剖面与加权质心获得钢球位置，采用150 ms窗口估计速度，并以30 Hz位置-速度级联控制生成摆杆角度；角度经连杆标定换算为42型步进电机绝对位置指令。机械部分采用一端铰接、另一端由摇臂连杆抬升的H42装配方案。当前系统仍处于初级调试阶段，滚球程序工作在中心保持模式，循迹终点识别、图传装置及各项性能数据尚待实测，因此本文只给出可继续填写的设计框架，不虚构测试结论。</w:t>
      </w:r>
    </w:p>
    <w:p w14:paraId="3B720C37">
      <w:pPr>
        <w:widowControl/>
        <w:spacing w:before="0" w:after="0" w:line="440" w:lineRule="exact"/>
        <w:ind w:firstLine="0"/>
        <w:jc w:val="both"/>
      </w:pPr>
      <w:r>
        <w:rPr>
          <w:b/>
          <w:color w:val="000000"/>
        </w:rPr>
        <w:t>关键词：</w:t>
      </w:r>
      <w:r>
        <w:rPr>
          <w:b w:val="0"/>
          <w:color w:val="000000"/>
        </w:rPr>
        <w:t>八路红外循迹；MaixCAM Pro；灰度剖面检测；位置-速度级联；42型步进电机</w:t>
      </w:r>
    </w:p>
    <w:p w14:paraId="753C110D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阶段说明：</w:t>
      </w:r>
      <w:r>
        <w:rPr>
          <w:b w:val="0"/>
          <w:color w:val="000000"/>
        </w:rPr>
        <w:t>本稿严格沿用选手填写通用模板的章节、表格、图号、分页和封面。正文依据现有MSPM0G3507底盘程序、MaixCAM Pro程序及H42机械装配资料填写；未取得的尺寸、器件规格和试验结果统一标为“待确认”或“待实测”。</w:t>
      </w:r>
    </w:p>
    <w:p w14:paraId="38C63CC0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提交前检查：</w:t>
      </w:r>
      <w:r>
        <w:rPr>
          <w:b w:val="0"/>
          <w:color w:val="000000"/>
        </w:rPr>
        <w:t>完成实车调试后，应补齐图传、终点停车、供电参数和表B-1至表B-6原始数据，再据此改写摘要、结论和表7。封面按本次要求保持母版原样；最终提交前仅在得到队伍明确确认后再填写日期并更新目录、页码和交叉引用。</w:t>
      </w:r>
    </w:p>
    <w:p w14:paraId="51B9C2D7">
      <w:pPr>
        <w:sectPr>
          <w:headerReference r:id="rId5" w:type="default"/>
          <w:footerReference r:id="rId6" w:type="default"/>
          <w:pgSz w:w="11906" w:h="16838"/>
          <w:pgMar w:top="1871" w:right="1800" w:bottom="1440" w:left="1800" w:header="851" w:footer="992" w:gutter="0"/>
          <w:cols w:space="0" w:num="1"/>
          <w:docGrid w:type="lines" w:linePitch="314" w:charSpace="0"/>
        </w:sectPr>
      </w:pPr>
    </w:p>
    <w:p w14:paraId="0A12F80D">
      <w:pPr>
        <w:spacing w:before="200" w:after="280"/>
        <w:jc w:val="center"/>
      </w:pPr>
      <w:r>
        <w:rPr>
          <w:rFonts w:ascii="Times New Roman" w:hAnsi="Times New Roman" w:eastAsia="宋体"/>
          <w:sz w:val="40"/>
        </w:rPr>
        <w:t>目 录</w:t>
      </w:r>
    </w:p>
    <w:p w14:paraId="2C3D7317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_Toc25763 </w:instrText>
      </w:r>
      <w:r>
        <w:fldChar w:fldCharType="separate"/>
      </w:r>
      <w:r>
        <w:rPr>
          <w:rFonts w:ascii="Times New Roman" w:hAnsi="Times New Roman" w:eastAsia="宋体"/>
        </w:rPr>
        <w:t>一、系统方案</w:t>
      </w:r>
      <w:r>
        <w:tab/>
      </w:r>
      <w:r>
        <w:fldChar w:fldCharType="begin"/>
      </w:r>
      <w:r>
        <w:instrText xml:space="preserve"> PAGEREF _Toc25763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594D258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_Toc4694 </w:instrText>
      </w:r>
      <w:r>
        <w:fldChar w:fldCharType="separate"/>
      </w:r>
      <w:r>
        <w:rPr>
          <w:rFonts w:ascii="Times New Roman" w:hAnsi="Times New Roman" w:eastAsia="宋体"/>
        </w:rPr>
        <w:t>1、总体方案</w:t>
      </w:r>
      <w:r>
        <w:tab/>
      </w:r>
      <w:r>
        <w:fldChar w:fldCharType="begin"/>
      </w:r>
      <w:r>
        <w:instrText xml:space="preserve"> PAGEREF _Toc4694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E768B41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_Toc6614 </w:instrText>
      </w:r>
      <w:r>
        <w:fldChar w:fldCharType="separate"/>
      </w:r>
      <w:r>
        <w:rPr>
          <w:rFonts w:ascii="Times New Roman" w:hAnsi="Times New Roman" w:eastAsia="宋体"/>
        </w:rPr>
        <w:t>2、小车循迹方案论证</w:t>
      </w:r>
      <w:r>
        <w:tab/>
      </w:r>
      <w:r>
        <w:fldChar w:fldCharType="begin"/>
      </w:r>
      <w:r>
        <w:instrText xml:space="preserve"> PAGEREF _Toc6614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C77A423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_Toc12672 </w:instrText>
      </w:r>
      <w:r>
        <w:fldChar w:fldCharType="separate"/>
      </w:r>
      <w:r>
        <w:rPr>
          <w:rFonts w:ascii="Times New Roman" w:hAnsi="Times New Roman" w:eastAsia="宋体"/>
        </w:rPr>
        <w:t>3、钢球视觉检测方案论证</w:t>
      </w:r>
      <w:r>
        <w:tab/>
      </w:r>
      <w:r>
        <w:fldChar w:fldCharType="begin"/>
      </w:r>
      <w:r>
        <w:instrText xml:space="preserve"> PAGEREF _Toc12672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50FB5E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_Toc51 </w:instrText>
      </w:r>
      <w:r>
        <w:fldChar w:fldCharType="separate"/>
      </w:r>
      <w:r>
        <w:rPr>
          <w:rFonts w:ascii="Times New Roman" w:hAnsi="Times New Roman" w:eastAsia="宋体"/>
        </w:rPr>
        <w:t>4、摆杆执行机构与控制方案论证</w:t>
      </w:r>
      <w:r>
        <w:tab/>
      </w:r>
      <w:r>
        <w:fldChar w:fldCharType="begin"/>
      </w:r>
      <w:r>
        <w:instrText xml:space="preserve"> PAGEREF _Toc51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7AC07E1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_Toc12919 </w:instrText>
      </w:r>
      <w:r>
        <w:fldChar w:fldCharType="separate"/>
      </w:r>
      <w:r>
        <w:rPr>
          <w:rFonts w:ascii="Times New Roman" w:hAnsi="Times New Roman" w:eastAsia="宋体"/>
        </w:rPr>
        <w:t>二、理论分析与计算</w:t>
      </w:r>
      <w:r>
        <w:tab/>
      </w:r>
      <w:r>
        <w:fldChar w:fldCharType="begin"/>
      </w:r>
      <w:r>
        <w:instrText xml:space="preserve"> PAGEREF _Toc12919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8246A88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_Toc25156 </w:instrText>
      </w:r>
      <w:r>
        <w:fldChar w:fldCharType="separate"/>
      </w:r>
      <w:r>
        <w:rPr>
          <w:rFonts w:ascii="Times New Roman" w:hAnsi="Times New Roman" w:eastAsia="宋体"/>
        </w:rPr>
        <w:t>1、小车循迹运动学与终点控制</w:t>
      </w:r>
      <w:r>
        <w:tab/>
      </w:r>
      <w:r>
        <w:fldChar w:fldCharType="begin"/>
      </w:r>
      <w:r>
        <w:instrText xml:space="preserve"> PAGEREF _Toc25156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383373C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_Toc23040 </w:instrText>
      </w:r>
      <w:r>
        <w:fldChar w:fldCharType="separate"/>
      </w:r>
      <w:r>
        <w:rPr>
          <w:rFonts w:ascii="Times New Roman" w:hAnsi="Times New Roman" w:eastAsia="宋体"/>
        </w:rPr>
        <w:t>2、球杆系统动力学模型</w:t>
      </w:r>
      <w:r>
        <w:tab/>
      </w:r>
      <w:r>
        <w:fldChar w:fldCharType="begin"/>
      </w:r>
      <w:r>
        <w:instrText xml:space="preserve"> PAGEREF _Toc23040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0F57E54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_Toc3220 </w:instrText>
      </w:r>
      <w:r>
        <w:fldChar w:fldCharType="separate"/>
      </w:r>
      <w:r>
        <w:rPr>
          <w:rFonts w:ascii="Times New Roman" w:hAnsi="Times New Roman" w:eastAsia="宋体"/>
        </w:rPr>
        <w:t>3、视觉坐标映射与状态估计</w:t>
      </w:r>
      <w:r>
        <w:tab/>
      </w:r>
      <w:r>
        <w:fldChar w:fldCharType="begin"/>
      </w:r>
      <w:r>
        <w:instrText xml:space="preserve"> PAGEREF _Toc3220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A91C381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_Toc23020 </w:instrText>
      </w:r>
      <w:r>
        <w:fldChar w:fldCharType="separate"/>
      </w:r>
      <w:r>
        <w:rPr>
          <w:rFonts w:ascii="Times New Roman" w:hAnsi="Times New Roman" w:eastAsia="宋体"/>
        </w:rPr>
        <w:t>4、滚球闭环、前馈与轨迹规划</w:t>
      </w:r>
      <w:r>
        <w:tab/>
      </w:r>
      <w:r>
        <w:fldChar w:fldCharType="begin"/>
      </w:r>
      <w:r>
        <w:instrText xml:space="preserve"> PAGEREF _Toc23020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4581AB4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_Toc27484 </w:instrText>
      </w:r>
      <w:r>
        <w:fldChar w:fldCharType="separate"/>
      </w:r>
      <w:r>
        <w:rPr>
          <w:rFonts w:ascii="Times New Roman" w:hAnsi="Times New Roman" w:eastAsia="宋体"/>
        </w:rPr>
        <w:t>三、电路与程序设计</w:t>
      </w:r>
      <w:r>
        <w:tab/>
      </w:r>
      <w:r>
        <w:fldChar w:fldCharType="begin"/>
      </w:r>
      <w:r>
        <w:instrText xml:space="preserve"> PAGEREF _Toc27484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FB9CC7C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_Toc4241 </w:instrText>
      </w:r>
      <w:r>
        <w:fldChar w:fldCharType="separate"/>
      </w:r>
      <w:r>
        <w:rPr>
          <w:rFonts w:ascii="Times New Roman" w:hAnsi="Times New Roman" w:eastAsia="宋体"/>
        </w:rPr>
        <w:t>1、控制电路与硬件选择</w:t>
      </w:r>
      <w:r>
        <w:tab/>
      </w:r>
      <w:r>
        <w:fldChar w:fldCharType="begin"/>
      </w:r>
      <w:r>
        <w:instrText xml:space="preserve"> PAGEREF _Toc4241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89CA994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_Toc656 </w:instrText>
      </w:r>
      <w:r>
        <w:fldChar w:fldCharType="separate"/>
      </w:r>
      <w:r>
        <w:rPr>
          <w:rFonts w:ascii="Times New Roman" w:hAnsi="Times New Roman" w:eastAsia="宋体"/>
        </w:rPr>
        <w:t>2、程序结构与任务状态机</w:t>
      </w:r>
      <w:r>
        <w:tab/>
      </w:r>
      <w:r>
        <w:fldChar w:fldCharType="begin"/>
      </w:r>
      <w:r>
        <w:instrText xml:space="preserve"> PAGEREF _Toc656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E85017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_Toc32040 </w:instrText>
      </w:r>
      <w:r>
        <w:fldChar w:fldCharType="separate"/>
      </w:r>
      <w:r>
        <w:rPr>
          <w:rFonts w:ascii="Times New Roman" w:hAnsi="Times New Roman" w:eastAsia="宋体"/>
        </w:rPr>
        <w:t>3、标定、限幅与故障处理</w:t>
      </w:r>
      <w:r>
        <w:tab/>
      </w:r>
      <w:r>
        <w:fldChar w:fldCharType="begin"/>
      </w:r>
      <w:r>
        <w:instrText xml:space="preserve"> PAGEREF _Toc32040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1002204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_Toc31573 </w:instrText>
      </w:r>
      <w:r>
        <w:fldChar w:fldCharType="separate"/>
      </w:r>
      <w:r>
        <w:rPr>
          <w:rFonts w:ascii="Times New Roman" w:hAnsi="Times New Roman" w:eastAsia="宋体"/>
        </w:rPr>
        <w:t>四、测试方案与测试结果</w:t>
      </w:r>
      <w:r>
        <w:tab/>
      </w:r>
      <w:r>
        <w:fldChar w:fldCharType="begin"/>
      </w:r>
      <w:r>
        <w:instrText xml:space="preserve"> PAGEREF _Toc31573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3C51E3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_Toc22500 </w:instrText>
      </w:r>
      <w:r>
        <w:fldChar w:fldCharType="separate"/>
      </w:r>
      <w:r>
        <w:rPr>
          <w:rFonts w:ascii="Times New Roman" w:hAnsi="Times New Roman" w:eastAsia="宋体"/>
        </w:rPr>
        <w:t>1、测试条件与仪器</w:t>
      </w:r>
      <w:r>
        <w:tab/>
      </w:r>
      <w:r>
        <w:fldChar w:fldCharType="begin"/>
      </w:r>
      <w:r>
        <w:instrText xml:space="preserve"> PAGEREF _Toc22500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03698C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_Toc6694 </w:instrText>
      </w:r>
      <w:r>
        <w:fldChar w:fldCharType="separate"/>
      </w:r>
      <w:r>
        <w:rPr>
          <w:rFonts w:ascii="Times New Roman" w:hAnsi="Times New Roman" w:eastAsia="宋体"/>
        </w:rPr>
        <w:t>2、测试步骤与数据处理</w:t>
      </w:r>
      <w:r>
        <w:tab/>
      </w:r>
      <w:r>
        <w:fldChar w:fldCharType="begin"/>
      </w:r>
      <w:r>
        <w:instrText xml:space="preserve"> PAGEREF _Toc6694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A85D281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_Toc29698 </w:instrText>
      </w:r>
      <w:r>
        <w:fldChar w:fldCharType="separate"/>
      </w:r>
      <w:r>
        <w:rPr>
          <w:rFonts w:ascii="Times New Roman" w:hAnsi="Times New Roman" w:eastAsia="宋体"/>
        </w:rPr>
        <w:t>3、分项测试记录</w:t>
      </w:r>
      <w:r>
        <w:tab/>
      </w:r>
      <w:r>
        <w:fldChar w:fldCharType="begin"/>
      </w:r>
      <w:r>
        <w:instrText xml:space="preserve"> PAGEREF _Toc29698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D2746B4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_Toc19256 </w:instrText>
      </w:r>
      <w:r>
        <w:fldChar w:fldCharType="separate"/>
      </w:r>
      <w:r>
        <w:rPr>
          <w:rFonts w:ascii="Times New Roman" w:hAnsi="Times New Roman" w:eastAsia="宋体"/>
        </w:rPr>
        <w:t>4、结果判定与误差分析</w:t>
      </w:r>
      <w:r>
        <w:tab/>
      </w:r>
      <w:r>
        <w:fldChar w:fldCharType="begin"/>
      </w:r>
      <w:r>
        <w:instrText xml:space="preserve"> PAGEREF _Toc19256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19028E5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_Toc806 </w:instrText>
      </w:r>
      <w:r>
        <w:fldChar w:fldCharType="separate"/>
      </w:r>
      <w:r>
        <w:rPr>
          <w:rFonts w:ascii="Times New Roman" w:hAnsi="Times New Roman" w:eastAsia="宋体"/>
        </w:rPr>
        <w:t>五、结论与改进</w:t>
      </w:r>
      <w:r>
        <w:tab/>
      </w:r>
      <w:r>
        <w:fldChar w:fldCharType="begin"/>
      </w:r>
      <w:r>
        <w:instrText xml:space="preserve"> PAGEREF _Toc806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E2E89F0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_Toc7898 </w:instrText>
      </w:r>
      <w:r>
        <w:fldChar w:fldCharType="separate"/>
      </w:r>
      <w:r>
        <w:rPr>
          <w:rFonts w:ascii="Times New Roman" w:hAnsi="Times New Roman" w:eastAsia="宋体"/>
        </w:rPr>
        <w:t>六、参考文献</w:t>
      </w:r>
      <w:r>
        <w:tab/>
      </w:r>
      <w:r>
        <w:fldChar w:fldCharType="begin"/>
      </w:r>
      <w:r>
        <w:instrText xml:space="preserve"> PAGEREF _Toc7898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B6B1495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_Toc19640 </w:instrText>
      </w:r>
      <w:r>
        <w:fldChar w:fldCharType="separate"/>
      </w:r>
      <w:r>
        <w:rPr>
          <w:rFonts w:ascii="Times New Roman" w:hAnsi="Times New Roman" w:eastAsia="宋体"/>
        </w:rPr>
        <w:t>附录：提交材料与核心程序索引</w:t>
      </w:r>
      <w:r>
        <w:tab/>
      </w:r>
      <w:r>
        <w:fldChar w:fldCharType="begin"/>
      </w:r>
      <w:r>
        <w:instrText xml:space="preserve"> PAGEREF _Toc19640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871EFB3">
      <w:pPr>
        <w:widowControl/>
        <w:spacing w:before="0" w:after="0" w:line="360" w:lineRule="exact"/>
        <w:ind w:firstLine="0"/>
        <w:jc w:val="left"/>
      </w:pPr>
      <w:r>
        <w:fldChar w:fldCharType="end"/>
      </w:r>
    </w:p>
    <w:p w14:paraId="0EFB5BB2">
      <w:pPr>
        <w:sectPr>
          <w:headerReference r:id="rId7" w:type="default"/>
          <w:footerReference r:id="rId8" w:type="default"/>
          <w:pgSz w:w="11906" w:h="16838"/>
          <w:pgMar w:top="1871" w:right="1800" w:bottom="1440" w:left="1800" w:header="851" w:footer="992" w:gutter="0"/>
          <w:cols w:space="0" w:num="1"/>
          <w:docGrid w:type="lines" w:linePitch="314" w:charSpace="0"/>
        </w:sectPr>
      </w:pPr>
    </w:p>
    <w:p w14:paraId="36303784">
      <w:pPr>
        <w:widowControl/>
        <w:spacing w:before="0" w:after="0" w:line="440" w:lineRule="exact"/>
        <w:ind w:firstLine="0"/>
        <w:jc w:val="center"/>
      </w:pPr>
      <w:r>
        <w:rPr>
          <w:rFonts w:ascii="Times New Roman" w:hAnsi="Times New Roman" w:eastAsia="宋体"/>
          <w:sz w:val="36"/>
        </w:rPr>
        <w:t>车载平衡滚球运动控制系统（</w:t>
      </w:r>
      <w:r>
        <w:rPr>
          <w:rFonts w:ascii="Times New Roman" w:hAnsi="Times New Roman" w:eastAsia="宋体"/>
          <w:b/>
          <w:sz w:val="36"/>
        </w:rPr>
        <w:t>H</w:t>
      </w:r>
      <w:r>
        <w:rPr>
          <w:rFonts w:ascii="Times New Roman" w:hAnsi="Times New Roman" w:eastAsia="宋体"/>
          <w:sz w:val="36"/>
        </w:rPr>
        <w:t>题）</w:t>
      </w:r>
    </w:p>
    <w:p w14:paraId="525585F8">
      <w:pPr>
        <w:widowControl/>
        <w:spacing w:before="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36"/>
        </w:rPr>
        <w:t>【本科组】</w:t>
      </w:r>
    </w:p>
    <w:p w14:paraId="70FC84EC">
      <w:pPr>
        <w:pStyle w:val="2"/>
        <w:keepNext/>
      </w:pPr>
      <w:bookmarkStart w:id="0" w:name="_Toc25763"/>
      <w:r>
        <w:rPr>
          <w:rFonts w:ascii="Times New Roman" w:hAnsi="Times New Roman" w:eastAsia="宋体"/>
          <w:b/>
          <w:sz w:val="28"/>
        </w:rPr>
        <w:t>一、系统方案</w:t>
      </w:r>
      <w:bookmarkEnd w:id="0"/>
    </w:p>
    <w:p w14:paraId="597AE72C">
      <w:pPr>
        <w:pStyle w:val="3"/>
        <w:keepNext/>
      </w:pPr>
      <w:bookmarkStart w:id="1" w:name="_Toc4694"/>
      <w:r>
        <w:rPr>
          <w:rFonts w:ascii="Times New Roman" w:hAnsi="Times New Roman" w:eastAsia="宋体"/>
          <w:b/>
          <w:sz w:val="24"/>
        </w:rPr>
        <w:t>1、总体方案</w:t>
      </w:r>
      <w:bookmarkEnd w:id="1"/>
    </w:p>
    <w:p w14:paraId="64859F76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总体思路：</w:t>
      </w:r>
      <w:r>
        <w:rPr>
          <w:b w:val="0"/>
          <w:color w:val="000000"/>
        </w:rPr>
        <w:t>系统分为底盘循迹链和滚球闭环链。底盘侧由八路红外模块采集轨迹反射强度，MSPM0G3507完成归一化、横向偏差计算、丢线状态判断及方向/角速度/轮速控制，经AT8236驱动两台MG513X电机；一个万向轮构成三点支撑。滚球侧由MaixCAM Pro直接完成钢球检测、位置滤波、速度估计和位置-速度级联控制，再通过UART向42型步进电机发送绝对位置命令，连杆机构把电机角度转换为摆杆端部升降。两条控制链统一由车载电池供电，通过启动、急停、计时显示和故障记录协调。</w:t>
      </w:r>
    </w:p>
    <w:p w14:paraId="0C244A43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机械布局：</w:t>
      </w:r>
      <w:r>
        <w:rPr>
          <w:b w:val="0"/>
          <w:color w:val="000000"/>
        </w:rPr>
        <w:t>依据“26年H题车载水平小球”中的H42装配体，25 cm PPR凹槽摆杆沿车体纵向布置，左端通过Axis与625ZZ轴承形成固定铰点，右端由42型步进电机的摇臂和连杆抬升。Top_body、Bottom、Sheet_metal等零件构成支承与安装框架。铰点安装高度按题目保持h不小于5 cm，摄像头固定在摆杆上方并覆盖全槽；步进电机、支架和摄像头尽量靠近车体中心线，最终外廓、重心、连杆孔距和摆角范围以装配实测为准，并保证摆杆不超出35 cm x 25 cm车身投影。</w:t>
      </w:r>
    </w:p>
    <w:tbl>
      <w:tblPr>
        <w:tblStyle w:val="11"/>
        <w:tblW w:w="81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0"/>
      </w:tblGrid>
      <w:tr w14:paraId="3AFC5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0" w:hRule="atLeast"/>
          <w:tblHeader/>
          <w:jc w:val="center"/>
        </w:trPr>
        <w:tc>
          <w:tcPr>
            <w:tcW w:w="81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F32D114"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74920" cy="2960370"/>
                  <wp:docPr id="2" name="Picture 2" descr="系统总体结构框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overview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960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F1238B">
      <w:pPr>
        <w:keepNext/>
        <w:spacing w:before="20" w:after="20"/>
        <w:jc w:val="center"/>
      </w:pPr>
      <w:r>
        <w:rPr>
          <w:rFonts w:ascii="Times New Roman" w:hAnsi="Times New Roman" w:eastAsia="宋体"/>
          <w:sz w:val="21"/>
        </w:rPr>
        <w:t>图1 系统总体框图</w:t>
      </w:r>
    </w:p>
    <w:p w14:paraId="1AD76CB3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表1 题目指标与本队设计对应关系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900"/>
        <w:gridCol w:w="3300"/>
        <w:gridCol w:w="1400"/>
      </w:tblGrid>
      <w:tr w14:paraId="2B449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FE7CB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题目任务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46350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约束/指标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CD3E8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本队设计对策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74CD2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验证位置</w:t>
            </w:r>
          </w:p>
        </w:tc>
      </w:tr>
      <w:tr w14:paraId="6AA90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869C17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图传与回放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B00A0D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覆盖全摆杆、连续记录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420461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独立图传链待选型并接入；控制相机与图传职责分开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F1138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表B-1/视频索引</w:t>
            </w:r>
          </w:p>
        </w:tc>
      </w:tr>
      <w:tr w14:paraId="7812C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DC2E4E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循迹一圈并停车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ACA3AC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t&lt;=20 s，偏差&lt;=2 cm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59006A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八路归一化循迹；里程+A线识别、预减速和停车逻辑待完成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1B263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表B-2</w:t>
            </w:r>
          </w:p>
        </w:tc>
      </w:tr>
      <w:tr w14:paraId="76A2C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A89DD1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静态O到+5到-5 cm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32B723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t&lt;=5 s，误差&lt;=1 cm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D85740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MaixCAM Pro位置/速度级联；任务3状态机已编写但当前关闭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BFB5C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表B-3</w:t>
            </w:r>
          </w:p>
        </w:tc>
      </w:tr>
      <w:tr w14:paraId="7FD59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BB1805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A-B段中心稳定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17CE6D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t&lt;=8 s，误差&lt;=1 cm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627A9E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底盘分段限速；滚球闭环持续运行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09F39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表B-4</w:t>
            </w:r>
          </w:p>
        </w:tc>
      </w:tr>
      <w:tr w14:paraId="03375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169A8D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一圈中心/指定位置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C589FC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t&lt;=30 s，误差&lt;=1 cm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817116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目标位置可配置接口待补充；动态抗扰待联调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ED397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表B-5/B-6</w:t>
            </w:r>
          </w:p>
        </w:tc>
      </w:tr>
    </w:tbl>
    <w:p w14:paraId="7C41AA59">
      <w:pPr>
        <w:spacing w:before="20" w:after="0"/>
      </w:pPr>
    </w:p>
    <w:p w14:paraId="1AE6875E">
      <w:pPr>
        <w:pStyle w:val="3"/>
        <w:keepNext/>
      </w:pPr>
      <w:bookmarkStart w:id="2" w:name="_Toc6614"/>
      <w:r>
        <w:rPr>
          <w:rFonts w:ascii="Times New Roman" w:hAnsi="Times New Roman" w:eastAsia="宋体"/>
          <w:b/>
          <w:sz w:val="24"/>
        </w:rPr>
        <w:t>2、小车循迹方案论证</w:t>
      </w:r>
      <w:bookmarkEnd w:id="2"/>
    </w:p>
    <w:p w14:paraId="45626160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备选方案一：</w:t>
      </w:r>
      <w:r>
        <w:rPr>
          <w:b w:val="0"/>
          <w:color w:val="000000"/>
        </w:rPr>
        <w:t>采用少量开关式红外探头，根据最左、居中、最右状态分段转向。其接口简单、程序量小，但黑线处于相邻探头之间时误差不连续，环境光和安装高度变化容易造成阈值漂移，半径0.5 m连续弯道上的速度上限和重复性受限。</w:t>
      </w:r>
    </w:p>
    <w:p w14:paraId="13666483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备选方案二：</w:t>
      </w:r>
      <w:r>
        <w:rPr>
          <w:b w:val="0"/>
          <w:color w:val="000000"/>
        </w:rPr>
        <w:t>采用八路模拟红外阵列，通过S0/S1/S2选择通道，每路切换后丢弃首个ADC样本并平均后续4次；分别采集背景和目标线参考，将每路映射到0至1000，再用位置权重7、5、3、1、-1、-3、-5、-7计算连续偏差。该方案需要两次标定和更多参数整定，但可获得连续误差，并能依据有效通道数和灰度总量判断窄缝、盲转和丢线。</w:t>
      </w:r>
    </w:p>
    <w:p w14:paraId="6720F9C4">
      <w:pPr>
        <w:widowControl/>
        <w:spacing w:before="0" w:after="0" w:line="440" w:lineRule="exact"/>
        <w:ind w:firstLine="420"/>
        <w:jc w:val="both"/>
      </w:pPr>
      <w:r>
        <w:rPr>
          <w:b/>
          <w:color w:val="000000"/>
        </w:rPr>
        <w:t>方案选择：</w:t>
      </w:r>
      <w:r>
        <w:rPr>
          <w:b w:val="0"/>
          <w:color w:val="000000"/>
        </w:rPr>
        <w:t>采用八路归一化方案。可验证依据一是20 ms更新周期内可得到-100%至100%的连续偏差，便于方向环输出连续目标角速度；依据二是程序已经实现150 ms窄缝保持、带350 ms转向记忆的盲转恢复及1200 ms超时停车，适合后续分别记录弯道误差和丢线恢复时间。</w:t>
      </w:r>
    </w:p>
    <w:p w14:paraId="174C6187">
      <w:pPr>
        <w:pStyle w:val="3"/>
        <w:keepNext/>
      </w:pPr>
      <w:bookmarkStart w:id="3" w:name="_Toc12672"/>
      <w:r>
        <w:rPr>
          <w:rFonts w:ascii="Times New Roman" w:hAnsi="Times New Roman" w:eastAsia="宋体"/>
          <w:b/>
          <w:sz w:val="24"/>
        </w:rPr>
        <w:t>3、钢球视觉检测方案论证</w:t>
      </w:r>
      <w:bookmarkEnd w:id="3"/>
    </w:p>
    <w:p w14:paraId="7967673E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成像与识别：</w:t>
      </w:r>
      <w:r>
        <w:rPr>
          <w:b w:val="0"/>
          <w:color w:val="000000"/>
        </w:rPr>
        <w:t>滚球端使用MaixCAM Pro，当前相机设置为640x480、60 fps，检测ROI为x=20至620、y=200至280。图像转灰度并做5x5高斯滤波，对ROI按列求均值形成一维灰度剖面，再以大尺度高斯基线减去原剖面得到钢球暗度响应；在上一帧附近或全ROI内搜索峰值，并用局部加权质心求横坐标。对比度门限为8，允许相邻帧最大跳变4 cm，曝光方式和实际帧率待实机固定后记录。</w:t>
      </w:r>
    </w:p>
    <w:p w14:paraId="32C6ABAB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方案比较：</w:t>
      </w:r>
      <w:r>
        <w:rPr>
          <w:b w:val="0"/>
          <w:color w:val="000000"/>
        </w:rPr>
        <w:t>学习型目标检测可通过训练覆盖反光、模糊和背景变化，但需要采集标注数据、完成模型转换与板端推理验证，且当前队伍程序并未使用该类模型。固定ROI灰度剖面法不需要训练，运算链短，便于在初级阶段直接观察阈值、峰值和位置误差；其局限是对槽内阴影、钢球高光和相机姿态变化更敏感。后续若跨光照误检率较高，可将学习型检测作为备选，而不能在本稿中把它写成现用方案。</w:t>
      </w:r>
    </w:p>
    <w:p w14:paraId="3129E7E2">
      <w:pPr>
        <w:widowControl/>
        <w:spacing w:before="0" w:after="0" w:line="440" w:lineRule="exact"/>
        <w:ind w:firstLine="420"/>
        <w:jc w:val="both"/>
      </w:pPr>
      <w:r>
        <w:rPr>
          <w:b/>
          <w:color w:val="000000"/>
        </w:rPr>
        <w:t>选择结论：</w:t>
      </w:r>
      <w:r>
        <w:rPr>
          <w:b w:val="0"/>
          <w:color w:val="000000"/>
        </w:rPr>
        <w:t>现阶段采用“固定ROI-灰度滤波-列均值-背景基线-暗度峰值-局部质心-时序约束”的摄像头检测流程。球位来自MaixCAM Pro图像而非接触式传感器，满足题目对摄像头检测的约束；最终定位误差、丢帧率和环境光适应性在表B-1中实测。</w:t>
      </w:r>
    </w:p>
    <w:p w14:paraId="57F0DC3B">
      <w:pPr>
        <w:pStyle w:val="3"/>
        <w:keepNext/>
      </w:pPr>
      <w:bookmarkStart w:id="4" w:name="_Toc51"/>
      <w:r>
        <w:rPr>
          <w:rFonts w:ascii="Times New Roman" w:hAnsi="Times New Roman" w:eastAsia="宋体"/>
          <w:b/>
          <w:sz w:val="24"/>
        </w:rPr>
        <w:t>4、摆杆执行机构与控制方案论证</w:t>
      </w:r>
      <w:bookmarkEnd w:id="4"/>
    </w:p>
    <w:p w14:paraId="3138270F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执行机构比较：</w:t>
      </w:r>
      <w:r>
        <w:rPr>
          <w:b w:val="0"/>
          <w:color w:val="000000"/>
        </w:rPr>
        <w:t>数字舵机集成位置闭环、接口简洁，但齿轮回差和可选摇臂几何会直接影响小角度重复性；42型步进电机便于按脉冲或串口绝对位置给定，配合摇臂连杆可以获得较细的杆端位移，但需要验证失步、谐振、驱动电流、回零与机构回差。现有H42装配已包含NEMA17/42型电机、轴承、转轴、支承件和连杆关系，故采用42型步进电机方案，额定转矩、有效传动比和回差留待实测。</w:t>
      </w:r>
    </w:p>
    <w:p w14:paraId="1668EFFF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控制结构比较：</w:t>
      </w:r>
      <w:r>
        <w:rPr>
          <w:b w:val="0"/>
          <w:color w:val="000000"/>
        </w:rPr>
        <w:t>单位置环直接输出摆角，视觉噪声和延迟会使输出频繁反向，且缺少速度阻尼；位置-速度级联把位置误差先变成有界目标速度，再由速度误差决定摆角，可分别限制球速和杆角，并在丢球时平滑回水平。当前程序保留PI结构，但初调阶段两个积分增益均为0，实际先以P-P级联验证方向和稳定性，待无静差需求明确后再逐步加入积分。</w:t>
      </w:r>
    </w:p>
    <w:p w14:paraId="0F2F1810">
      <w:pPr>
        <w:widowControl/>
        <w:spacing w:before="0" w:after="0" w:line="440" w:lineRule="exact"/>
        <w:ind w:firstLine="420"/>
        <w:jc w:val="both"/>
      </w:pPr>
      <w:r>
        <w:rPr>
          <w:b/>
          <w:color w:val="000000"/>
        </w:rPr>
        <w:t>最终方案：</w:t>
      </w:r>
      <w:r>
        <w:rPr>
          <w:b w:val="0"/>
          <w:color w:val="000000"/>
        </w:rPr>
        <w:t>对象为凹槽内滚动钢球；MaixCAM Pro提供球位图像反馈；低通滤波和最小二乘窗口产生位置、速度状态；位置PI外环输出目标球速，速度PI内环输出目标摆角；摆角经限幅、斜率限制和分段线性连杆标定换算为步进电机绝对角度；步进电机与连杆改变摆杆坡度，钢球运动后再次由摄像头闭环测量。</w:t>
      </w:r>
    </w:p>
    <w:p w14:paraId="0E054531">
      <w:pPr>
        <w:pStyle w:val="2"/>
        <w:keepNext/>
      </w:pPr>
      <w:bookmarkStart w:id="5" w:name="_Toc12919"/>
      <w:r>
        <w:rPr>
          <w:rFonts w:ascii="Times New Roman" w:hAnsi="Times New Roman" w:eastAsia="宋体"/>
          <w:b/>
          <w:sz w:val="28"/>
        </w:rPr>
        <w:t>二、理论分析与计算</w:t>
      </w:r>
      <w:bookmarkEnd w:id="5"/>
    </w:p>
    <w:p w14:paraId="2F223FC1">
      <w:pPr>
        <w:pStyle w:val="3"/>
        <w:keepNext/>
      </w:pPr>
      <w:bookmarkStart w:id="6" w:name="_Toc25156"/>
      <w:r>
        <w:rPr>
          <w:rFonts w:ascii="Times New Roman" w:hAnsi="Times New Roman" w:eastAsia="宋体"/>
          <w:b/>
          <w:sz w:val="24"/>
        </w:rPr>
        <w:t>1、小车循迹运动学与终点控制</w:t>
      </w:r>
      <w:bookmarkEnd w:id="6"/>
    </w:p>
    <w:p w14:paraId="552EA1A5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场地环路由两段长1.5 m的直线和两段半径0.5 m的半圆组成，理论中心线长度为L=2×1.5+2π×0.5=6.142 m。设计时应把识别、弯道降速和停车过程计入时间预算。</w:t>
      </w:r>
    </w:p>
    <w:p w14:paraId="0402D30F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偏差定义：</w:t>
      </w:r>
      <w:r>
        <w:rPr>
          <w:b w:val="0"/>
          <w:color w:val="000000"/>
        </w:rPr>
        <w:t>八路传感器从车左至车右记为G0至G7，归一化值s_i属于[0,1000]，目标线越明显数值越大，权重w_i依次为7、5、3、1、-1、-3、-5、-7。横向误差取e_y=100*sum(w_i*s_i)/(7*sum(s_i))，并限幅到[-100%,100%]。当sum(s_i)&lt;200时进入窄缝保持或盲转恢复；尚未完成黑白标定或恢复超时则停止电机。</w:t>
      </w:r>
    </w:p>
    <w:p w14:paraId="1037118A">
      <w:pPr>
        <w:widowControl/>
        <w:spacing w:before="20" w:after="20" w:line="360" w:lineRule="exact"/>
        <w:ind w:firstLine="0"/>
        <w:jc w:val="center"/>
      </w:pPr>
      <w:r>
        <w:rPr>
          <w:b w:val="0"/>
          <w:color w:val="000000"/>
        </w:rPr>
        <w:t>e_y = 100 * sum(w_i s_i) / [7 * sum(s_i)],  w_i={7,5,3,1,-1,-3,-5,-7}</w:t>
      </w:r>
    </w:p>
    <w:p w14:paraId="6DA5CBF9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循迹控制律：</w:t>
      </w:r>
      <w:r>
        <w:rPr>
          <w:b w:val="0"/>
          <w:color w:val="000000"/>
        </w:rPr>
        <w:t>偏差先以新样本权重0.35低通滤波，再按位置式PID生成方向输出，并映射为目标偏航角速度，正常限幅为正负60 deg/s；偏航角速度环输出左右轮差速修正量，轮速增量式PID再输出电机百分比。当前默认方向参数为Kp=200、Ki=0、Kd=350，底盘主循环10 ms、灰度更新20 ms，AT8236采用20 kHz慢衰减PWM。以上均为代码初值，最终值以实车调参记录为准。</w:t>
      </w:r>
    </w:p>
    <w:p w14:paraId="342532DA">
      <w:pPr>
        <w:widowControl/>
        <w:spacing w:before="20" w:after="20" w:line="360" w:lineRule="exact"/>
        <w:ind w:firstLine="0"/>
        <w:jc w:val="center"/>
      </w:pPr>
      <w:r>
        <w:rPr>
          <w:b w:val="0"/>
          <w:color w:val="000000"/>
        </w:rPr>
        <w:t>v_L* = v - Delta_v,  v_R* = v + Delta_v;  Delta_v = PI(omega_r - omega)</w:t>
      </w:r>
    </w:p>
    <w:p w14:paraId="74EB4464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终点识别与制动：</w:t>
      </w:r>
      <w:r>
        <w:rPr>
          <w:b w:val="0"/>
          <w:color w:val="000000"/>
        </w:rPr>
        <w:t>当前底盘程序已实现按键长按启动、运行中按键立即停车以及丢线超时停机，但尚未完成“一圈后识别A点启停线、计时锁存和停车偏差修正”。后续应在起步阶段屏蔽启停线，结合编码器累计里程和多通道同时见线判据，在接近6.142 m时预减速，过A线后制动并低速修正；对应阈值和制动距离必须由表B-2试验确定。</w:t>
      </w:r>
    </w:p>
    <w:p w14:paraId="4C017AEF">
      <w:pPr>
        <w:widowControl/>
        <w:spacing w:before="0" w:after="0" w:line="440" w:lineRule="exact"/>
        <w:ind w:firstLine="420"/>
        <w:jc w:val="both"/>
      </w:pPr>
      <w:r>
        <w:rPr>
          <w:b/>
          <w:color w:val="000000"/>
        </w:rPr>
        <w:t>时间预算：</w:t>
      </w:r>
      <w:r>
        <w:rPr>
          <w:b w:val="0"/>
          <w:color w:val="000000"/>
        </w:rPr>
        <w:t>现有本地循迹调试速度为0.20 m/s，按6.142 m计算理想一圈约30.71 s；程序当前循迹上限0.30 m/s时理想值仍约20.47 s，尚未计入起停和弯道，因此不能满足20 s任务。要留出制动裕量，后续整车稳定后需把平均速度提高到大于0.307 m/s，并将直线目标暂定为0.35至0.40 m/s、弯道速度和程序上限据实重定，完成后填入表B-2。</w:t>
      </w:r>
    </w:p>
    <w:p w14:paraId="45AB4580">
      <w:pPr>
        <w:pStyle w:val="3"/>
        <w:keepNext/>
      </w:pPr>
      <w:bookmarkStart w:id="7" w:name="_Toc23040"/>
      <w:r>
        <w:rPr>
          <w:rFonts w:ascii="Times New Roman" w:hAnsi="Times New Roman" w:eastAsia="宋体"/>
          <w:b/>
          <w:sz w:val="24"/>
        </w:rPr>
        <w:t>2、球杆系统动力学模型</w:t>
      </w:r>
      <w:bookmarkEnd w:id="7"/>
    </w:p>
    <w:p w14:paraId="151B89F3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建模约定：</w:t>
      </w:r>
      <w:r>
        <w:rPr>
          <w:b w:val="0"/>
          <w:color w:val="000000"/>
        </w:rPr>
        <w:t>以摆杆中心O为x=0，向执行机构一端为x正方向；杆端升高、使正x方向势能增加时摆角theta定义为正。钢球近似为实心球并在光滑凹槽内纯滚动，摆角按小角度处理。车体沿杆方向的加速度记为a_x，摩擦、槽截面约束、连杆回差、步进失步和车体俯仰作为未建模扰动。</w:t>
      </w:r>
    </w:p>
    <w:p w14:paraId="45EDE502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若把钢球视为无滑动滚动的实心球，转动惯量I=2mr²/5。常用的一维模型如下；若实物结构、方向定义或执行方式不同，必须重新推导并修改符号。</w:t>
      </w:r>
    </w:p>
    <w:p w14:paraId="13A4A032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(m + I/r²)x¨ = -m(g sinθ + aₓ cosθ)</w:t>
      </w:r>
    </w:p>
    <w:p w14:paraId="727F3E35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x¨ ≈ -(5/7)(gθ + aₓ)</w:t>
      </w:r>
    </w:p>
    <w:p w14:paraId="16FDAE29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参数与推导：</w:t>
      </w:r>
      <w:r>
        <w:rPr>
          <w:b w:val="0"/>
          <w:color w:val="000000"/>
        </w:rPr>
        <w:t>题目给出钢球直径约1 cm、摆杆长度25 cm，钢球质量m、实际半径r、铰点至驱动端有效距离和连杆孔距待称量或从最终装配图读取。控制程序目前将正常摆角限制为正负2 deg，电机机械角保护为正负40 deg。依据平动方程m*x_ddot、转动方程I*alpha以及无滑动约束x_dot=r*alpha，可得到上式；摩擦、摆角正弦非线性和连杆非线性将通过像素-位置与摆角-电机角标定补偿。</w:t>
      </w:r>
    </w:p>
    <w:p w14:paraId="4EB72CAB">
      <w:pPr>
        <w:widowControl/>
        <w:spacing w:before="0" w:after="0" w:line="440" w:lineRule="exact"/>
        <w:ind w:firstLine="420"/>
        <w:jc w:val="both"/>
      </w:pPr>
      <w:r>
        <w:rPr>
          <w:b/>
          <w:color w:val="000000"/>
        </w:rPr>
        <w:t>控制含义：</w:t>
      </w:r>
      <w:r>
        <w:rPr>
          <w:b w:val="0"/>
          <w:color w:val="000000"/>
        </w:rPr>
        <w:t>小角度模型近似双积分对象，只反馈位置时阻尼不足，故需要速度估计。小车起步时a_x产生与重力倾角同量纲的惯性扰动，弯道时横向加速度通过机构不对中和槽壁传入，制动时a_x符号突变最容易导致超调。当前阶段先依靠速度环、摆角限幅和缓变约束抑制，车体加速度前馈待动态日志具备后再加入。</w:t>
      </w:r>
    </w:p>
    <w:p w14:paraId="5A1B7F53">
      <w:pPr>
        <w:pStyle w:val="3"/>
        <w:keepNext/>
      </w:pPr>
      <w:bookmarkStart w:id="8" w:name="_Toc3220"/>
      <w:r>
        <w:rPr>
          <w:rFonts w:ascii="Times New Roman" w:hAnsi="Times New Roman" w:eastAsia="宋体"/>
          <w:b/>
          <w:sz w:val="24"/>
        </w:rPr>
        <w:t>3、视觉坐标映射与状态估计</w:t>
      </w:r>
      <w:bookmarkEnd w:id="8"/>
    </w:p>
    <w:p w14:paraId="3A8B6123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坐标标定：</w:t>
      </w:r>
      <w:r>
        <w:rPr>
          <w:b w:val="0"/>
          <w:color w:val="000000"/>
        </w:rPr>
        <w:t>当前线性映射采用中心像素u_O=320.0、比例22.4 pixel/cm，即x=(u-u_O)/22.4 cm。启动时在O点连续采集20帧；若横坐标极差不超过0.5 cm，则以均值更新u_O，15 s超时后使用配置值。22.4 pixel/cm仍需利用凹槽刻度的两个以上已知位置重新测量，透视和畸变是否需要校正由端点残差决定。</w:t>
      </w:r>
    </w:p>
    <w:p w14:paraId="2C3D1A3A">
      <w:pPr>
        <w:widowControl/>
        <w:spacing w:before="20" w:after="20" w:line="360" w:lineRule="exact"/>
        <w:ind w:firstLine="0"/>
        <w:jc w:val="center"/>
      </w:pPr>
      <w:r>
        <w:rPr>
          <w:b w:val="0"/>
          <w:color w:val="000000"/>
        </w:rPr>
        <w:t>x_k = (u_k - u_O) / 22.4  cm  (当前线性初值，提交前用实物标定替换)</w:t>
      </w:r>
    </w:p>
    <w:p w14:paraId="598CFAA2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滤波与估计：</w:t>
      </w:r>
      <w:r>
        <w:rPr>
          <w:b w:val="0"/>
          <w:color w:val="000000"/>
        </w:rPr>
        <w:t>位置使用alpha=0.45的一阶低通；速度由最近150 ms带时间戳的位置样本作最小二乘直线拟合，再以alpha=0.35低通。至少3个样本后速度才有效，速度绝对值限100 cm/s。跟踪阶段搜索范围由上一帧位置和4 cm最大跳变限制；250 ms未重获目标则恢复全ROI搜索。若有效测量中断达到150 ms，控制器清积分并使摆杆以斜率限制返回水平。</w:t>
      </w:r>
    </w:p>
    <w:p w14:paraId="0906B923">
      <w:pPr>
        <w:widowControl/>
        <w:spacing w:before="0" w:after="0" w:line="440" w:lineRule="exact"/>
        <w:ind w:firstLine="420"/>
        <w:jc w:val="both"/>
      </w:pPr>
      <w:r>
        <w:rPr>
          <w:b/>
          <w:color w:val="000000"/>
        </w:rPr>
        <w:t>分辨率核算：</w:t>
      </w:r>
      <w:r>
        <w:rPr>
          <w:b w:val="0"/>
          <w:color w:val="000000"/>
        </w:rPr>
        <w:t>600 pixel有效横向ROI按22.4 pixel/cm换算约覆盖26.79 cm，理论像素分辨率约0.0446 cm/pixel，数值上小于1 cm指标。但最终误差还包含灰度质心抖动、相机视角、钢球反光、刻度标定和控制动态误差，必须在中心、正负5 cm及靠近端部位置重复测量后才能判断是否达标。</w:t>
      </w:r>
    </w:p>
    <w:p w14:paraId="4E157532">
      <w:pPr>
        <w:pStyle w:val="3"/>
        <w:keepNext/>
      </w:pPr>
      <w:bookmarkStart w:id="9" w:name="_Toc23020"/>
      <w:r>
        <w:rPr>
          <w:rFonts w:ascii="Times New Roman" w:hAnsi="Times New Roman" w:eastAsia="宋体"/>
          <w:b/>
          <w:sz w:val="24"/>
        </w:rPr>
        <w:t>4、滚球闭环、前馈与轨迹规划</w:t>
      </w:r>
      <w:bookmarkEnd w:id="9"/>
    </w:p>
    <w:p w14:paraId="21019F03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误差与控制律：</w:t>
      </w:r>
      <w:r>
        <w:rPr>
          <w:b w:val="0"/>
          <w:color w:val="000000"/>
        </w:rPr>
        <w:t>目标位置为x_r，测量位置为x，位置误差e_x=x_r-x；目标速度v_r由位置PI产生并限幅，速度误差e_v=v_r-v；目标摆角theta_r由速度PI产生，再乘控制方向符号。积分按实际dt离散累加并分别限幅，输出进入饱和且误差仍推动更深饱和时冻结对应积分。</w:t>
      </w:r>
    </w:p>
    <w:p w14:paraId="02C80D03">
      <w:pPr>
        <w:widowControl/>
        <w:spacing w:before="20" w:after="20" w:line="360" w:lineRule="exact"/>
        <w:ind w:firstLine="0"/>
        <w:jc w:val="center"/>
      </w:pPr>
      <w:r>
        <w:rPr>
          <w:b w:val="0"/>
          <w:color w:val="000000"/>
        </w:rPr>
        <w:t>v_r = sat(K_px e_x + K_ix sum(e_x dt), +/-5 cm/s)</w:t>
        <w:br/>
        <w:t>theta_r = sat[K_pv(v_r-v) + K_iv sum((v_r-v)dt), +/-2 deg]</w:t>
      </w:r>
    </w:p>
    <w:p w14:paraId="424F63A4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参数整定：</w:t>
      </w:r>
      <w:r>
        <w:rPr>
          <w:b w:val="0"/>
          <w:color w:val="000000"/>
        </w:rPr>
        <w:t>当前初值K_px=0.50 1/s、K_ix=0，K_pv=0.10 deg/(cm/s)、K_iv=0；控制周期约33 ms，摆角限幅正负2 deg，摆角变化率8 deg/s，电机命令死区0.10 deg。整定顺序为先固定x_r=0验证方向和速度环，再增大速度环增益至具有足够阻尼，随后调位置环，最后再视静差逐步加入积分。每次改动只调整一组参数并保留日志。</w:t>
      </w:r>
    </w:p>
    <w:p w14:paraId="6DE571A0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任务逻辑：</w:t>
      </w:r>
      <w:r>
        <w:rPr>
          <w:b w:val="0"/>
          <w:color w:val="000000"/>
        </w:rPr>
        <w:t>现有程序TASK_MODE=0，仅保持TARGET_CM=0.0 cm；代码已包含任务3状态机，可在中心保持稳定后切换为O到+5 cm、判稳、再到-5 cm并保持。判稳初值为位置误差不超过0.5 cm、速度不超过1 cm/s并持续500 ms。该状态机目前未启用，也未形成5 s实测结果；任意位置设置、球位端部软限位以及与底盘任务4至6的同步逻辑仍待补充。</w:t>
      </w:r>
    </w:p>
    <w:p w14:paraId="2B9FE891">
      <w:r>
        <w:br w:type="page"/>
      </w:r>
    </w:p>
    <w:p w14:paraId="758BC5E6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表2 关键设计参数与指标预算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750"/>
        <w:gridCol w:w="1850"/>
        <w:gridCol w:w="1450"/>
        <w:gridCol w:w="2050"/>
      </w:tblGrid>
      <w:tr w14:paraId="5DE0C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40ADE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类别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9F60A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参数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7601B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设计/实测值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4AB5A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单位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77EA0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来源或选择依据</w:t>
            </w:r>
          </w:p>
        </w:tc>
      </w:tr>
      <w:tr w14:paraId="7839F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DF12FA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底盘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2A445C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轮距b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82AF8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3860E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3BA36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最终装配测量</w:t>
            </w:r>
          </w:p>
        </w:tc>
      </w:tr>
      <w:tr w14:paraId="27B0F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570CB9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底盘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583660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直线/弯道速度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ED931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当前调试0.20；目标待定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3A24D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m/s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D00F9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时间预算与表B-2</w:t>
            </w:r>
          </w:p>
        </w:tc>
      </w:tr>
      <w:tr w14:paraId="3A335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4F26BE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视觉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F9055F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分辨率/帧率/延迟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1D0BB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640x480；设定60；延迟待实测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2214D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pixel、Hz、ms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98E38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main.py与表B-1</w:t>
            </w:r>
          </w:p>
        </w:tc>
      </w:tr>
      <w:tr w14:paraId="2856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5BBFF1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执行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416F43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额定转矩/最大摆角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80947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转矩待确认；正常正负2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57A62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N*m、deg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506AE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电机资料与程序限幅</w:t>
            </w:r>
          </w:p>
        </w:tc>
      </w:tr>
      <w:tr w14:paraId="6CC16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FA1DE8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控制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98FD32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位置环采样周期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FA551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约33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887F7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ms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CABB0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CONTROL_HZ=30</w:t>
            </w:r>
          </w:p>
        </w:tc>
      </w:tr>
      <w:tr w14:paraId="4A38F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580C49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供电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AE5AEE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电池电压/容量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D9D4D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待确认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96520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V、mAh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7E788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实物规格与续航测试</w:t>
            </w:r>
          </w:p>
        </w:tc>
      </w:tr>
    </w:tbl>
    <w:p w14:paraId="4CBEA452">
      <w:pPr>
        <w:spacing w:before="20" w:after="0"/>
      </w:pPr>
    </w:p>
    <w:p w14:paraId="64D36BDC">
      <w:pPr>
        <w:pStyle w:val="2"/>
        <w:keepNext/>
      </w:pPr>
      <w:bookmarkStart w:id="10" w:name="_Toc27484"/>
      <w:r>
        <w:rPr>
          <w:rFonts w:ascii="Times New Roman" w:hAnsi="Times New Roman" w:eastAsia="宋体"/>
          <w:b/>
          <w:sz w:val="28"/>
        </w:rPr>
        <w:t>三、电路与程序设计</w:t>
      </w:r>
      <w:bookmarkEnd w:id="10"/>
    </w:p>
    <w:p w14:paraId="04D7ED6A">
      <w:pPr>
        <w:pStyle w:val="3"/>
        <w:keepNext/>
      </w:pPr>
      <w:bookmarkStart w:id="11" w:name="_Toc4241"/>
      <w:r>
        <w:rPr>
          <w:rFonts w:ascii="Times New Roman" w:hAnsi="Times New Roman" w:eastAsia="宋体"/>
          <w:b/>
          <w:sz w:val="24"/>
        </w:rPr>
        <w:t>1、控制电路与硬件选择</w:t>
      </w:r>
      <w:bookmarkEnd w:id="11"/>
    </w:p>
    <w:p w14:paraId="648BD1F3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表3 主要硬件选型与接口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850"/>
        <w:gridCol w:w="1350"/>
        <w:gridCol w:w="2600"/>
        <w:gridCol w:w="900"/>
      </w:tblGrid>
      <w:tr w14:paraId="5B6E5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C312B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功能模块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17E20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型号/关键规格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85D53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与主控接口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4F1E0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选择依据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BD4A4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实物数量</w:t>
            </w:r>
          </w:p>
        </w:tc>
      </w:tr>
      <w:tr w14:paraId="1FBDC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234693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主控制器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59409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MSPM0G3507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742E3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-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30F6C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定时器、ADC、串口资源；现有工程已编译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53C0D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</w:t>
            </w:r>
          </w:p>
        </w:tc>
      </w:tr>
      <w:tr w14:paraId="73C69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6AA627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循迹传感器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2613B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8路模拟红外模块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E7475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S0/S1/S2+ADC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DBDA5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逐路标定、连续加权偏差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665C4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1套</w:t>
            </w:r>
          </w:p>
        </w:tc>
      </w:tr>
      <w:tr w14:paraId="4B94F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2B59D4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电机与编码器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A712B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MG513X直流减速电机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46355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PWM；编码器接口按实物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C7603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两轮差速，转速/转矩待确认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226BD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2</w:t>
            </w:r>
          </w:p>
        </w:tc>
      </w:tr>
      <w:tr w14:paraId="5BB55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C9B90A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电机驱动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234CA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AT8236双路驱动模块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0D397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4路20 kHz PWM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49DE7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慢衰减驱动与2 us换向保护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ABA11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1套</w:t>
            </w:r>
          </w:p>
        </w:tc>
      </w:tr>
      <w:tr w14:paraId="03E22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F0A11C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球位摄像头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D13CF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MaixCAM Pro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81FEA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板载Camera/Display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6CAE1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640x480 ROI处理与本地控制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C7C3A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</w:t>
            </w:r>
          </w:p>
        </w:tc>
      </w:tr>
      <w:tr w14:paraId="1D13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B13D73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摆杆执行机构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18F23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42型步进电机+摇臂连杆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61FD5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UART 115200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9A250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绝对位置命令；H42机械装配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AF331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1套</w:t>
            </w:r>
          </w:p>
        </w:tc>
      </w:tr>
      <w:tr w14:paraId="11086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1BBCD4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图传/显示/存储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5E582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发送、接收和录像装置待选型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D4A75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独立链路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610F1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必须连续覆盖全摆杆；尚未接入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B97D1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待确认</w:t>
            </w:r>
          </w:p>
        </w:tc>
      </w:tr>
      <w:tr w14:paraId="228BF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4818A8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电源模块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1FA51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车载电池+分路稳压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5D5DB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-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F2980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电压、电流、纹波和余量待实测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654F6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1套</w:t>
            </w:r>
          </w:p>
        </w:tc>
      </w:tr>
    </w:tbl>
    <w:p w14:paraId="4BD2313B">
      <w:pPr>
        <w:spacing w:before="20" w:after="0"/>
      </w:pPr>
    </w:p>
    <w:tbl>
      <w:tblPr>
        <w:tblStyle w:val="11"/>
        <w:tblW w:w="81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0"/>
      </w:tblGrid>
      <w:tr w14:paraId="11CC7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0" w:hRule="atLeast"/>
          <w:tblHeader/>
          <w:jc w:val="center"/>
        </w:trPr>
        <w:tc>
          <w:tcPr>
            <w:tcW w:w="81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EC9B8E3"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74920" cy="2593848"/>
                  <wp:docPr id="3" name="Picture 3" descr="控制系统接口与信号流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rol_interface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593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32216">
      <w:pPr>
        <w:keepNext/>
        <w:spacing w:before="20" w:after="20"/>
        <w:jc w:val="center"/>
      </w:pPr>
      <w:r>
        <w:rPr>
          <w:rFonts w:ascii="Times New Roman" w:hAnsi="Times New Roman" w:eastAsia="宋体"/>
          <w:sz w:val="21"/>
        </w:rPr>
        <w:t>图2 控制系统电路与接口框图</w:t>
      </w:r>
    </w:p>
    <w:p w14:paraId="7F403545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电源预算：</w:t>
      </w:r>
      <w:r>
        <w:rPr>
          <w:b w:val="0"/>
          <w:color w:val="000000"/>
        </w:rPr>
        <w:t>当前只确认系统由车载电池供电，底盘电机、42型步进电机、MaixCAM Pro、MSPM0G3507及传感器应分支稳压并单点共地。各支路输入电压、峰值电流、电池容量、稳压器额定值和纹波尚未提供，表3和表6保留待确认项。联调时应分别测量静止、双轮堵转边缘、步进加速和相机运行工况，按峰值电流留不小于30%的余量，并检查欠压复位、反接和电机回生尖峰。</w:t>
      </w:r>
    </w:p>
    <w:p w14:paraId="3572E71C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关键接口：</w:t>
      </w:r>
      <w:r>
        <w:rPr>
          <w:b w:val="0"/>
          <w:color w:val="000000"/>
        </w:rPr>
        <w:t>八路红外通过S0/S1/S2和单路ADC复用采集，灰度周期20 ms；AT8236四个桥臂由两组定时器产生20 kHz PWM，换向前关断2 us。底盘程序预留左右编码器和LSM6DSR角速度反馈。MaixCAM Pro当前使用/dev/ttyS0、115200 bit/s向步进驱动发送带0x6B校验的绝对位置帧，默认速度100 r/min、加速度参数80。最终串口引脚、电平、共地、驱动使能和急停接线须按实物复核。</w:t>
      </w:r>
    </w:p>
    <w:p w14:paraId="59917569">
      <w:pPr>
        <w:pStyle w:val="3"/>
        <w:keepNext/>
      </w:pPr>
      <w:bookmarkStart w:id="12" w:name="_Toc656"/>
      <w:r>
        <w:rPr>
          <w:rFonts w:ascii="Times New Roman" w:hAnsi="Times New Roman" w:eastAsia="宋体"/>
          <w:b/>
          <w:sz w:val="24"/>
        </w:rPr>
        <w:t>2、程序结构与任务状态机</w:t>
      </w:r>
      <w:bookmarkEnd w:id="12"/>
    </w:p>
    <w:p w14:paraId="15F83CFE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软件架构：</w:t>
      </w:r>
      <w:r>
        <w:rPr>
          <w:b w:val="0"/>
          <w:color w:val="000000"/>
        </w:rPr>
        <w:t>底盘和滚球分别在MSPM0G3507与MaixCAM Pro上运行。底盘SysTick只累加毫秒时基，主循环每10 ms调度编码器、IMU、串级控制和安全检查，灰度每20 ms更新；模式切换会清除对应PID历史，通信看门狗和本地按键可停机。MaixCAM Pro以60 fps请求图像，检测每帧运行，控制器每约33 ms更新，显示10 Hz、遥测5 Hz。两侧不交换球位数据，滚球闭环由MaixCAM Pro直接闭合并发送步进指令。</w:t>
      </w:r>
    </w:p>
    <w:p w14:paraId="7965E26B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表4 软件任务与时序预算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500"/>
        <w:gridCol w:w="1600"/>
        <w:gridCol w:w="1600"/>
        <w:gridCol w:w="1650"/>
      </w:tblGrid>
      <w:tr w14:paraId="784A9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458C6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任务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8BE39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周期/触发条件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12021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主要输入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12B6A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主要输出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92AD1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最坏执行时间</w:t>
            </w:r>
          </w:p>
        </w:tc>
      </w:tr>
      <w:tr w14:paraId="6DD6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457429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系统时基/编码器采样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7AF98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 ms时基；10 ms控制调度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AC6DE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编码器计数、SysTick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0E591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轮速、时间戳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96EE1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 us</w:t>
            </w:r>
          </w:p>
        </w:tc>
      </w:tr>
      <w:tr w14:paraId="0EB4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E146A6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轮速与循迹控制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1C516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10 ms；灰度20 ms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177E0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八路灰度、角速度、轮速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E1EBF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左右轮PWM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065F0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 us</w:t>
            </w:r>
          </w:p>
        </w:tc>
      </w:tr>
      <w:tr w14:paraId="51E20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23068D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视觉接收/球位估计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E87EC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相机设定60 fps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8605D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640x480 ROI图像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9110B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球位、有效标志、速度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74CA9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 ms</w:t>
            </w:r>
          </w:p>
        </w:tc>
      </w:tr>
      <w:tr w14:paraId="3E1BC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1D0998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滚球控制输出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42CAA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约33 ms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90E55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目标、球位、球速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3AB2C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摆角和步进绝对位置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9E80E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 ms</w:t>
            </w:r>
          </w:p>
        </w:tc>
      </w:tr>
      <w:tr w14:paraId="07956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6CDAAF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任务状态机/计时显示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E78DF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事件触发；显示10 Hz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E9E70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按键、模式、过点事件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5FBEF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状态与计时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BBDA2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 us</w:t>
            </w:r>
          </w:p>
        </w:tc>
      </w:tr>
      <w:tr w14:paraId="4EBB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ECC23F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故障监测/日志记录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4B596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每控制周期；遥测200 ms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0E7DD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丢线、丢球、通信、电压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065CA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停机/回水平/日志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A65E8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 us</w:t>
            </w:r>
          </w:p>
        </w:tc>
      </w:tr>
    </w:tbl>
    <w:p w14:paraId="0E0B7D15">
      <w:pPr>
        <w:spacing w:before="20" w:after="0"/>
      </w:pPr>
    </w:p>
    <w:tbl>
      <w:tblPr>
        <w:tblStyle w:val="11"/>
        <w:tblW w:w="81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0"/>
      </w:tblGrid>
      <w:tr w14:paraId="53B50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0" w:hRule="atLeast"/>
          <w:tblHeader/>
          <w:jc w:val="center"/>
        </w:trPr>
        <w:tc>
          <w:tcPr>
            <w:tcW w:w="81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A06B24B"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92040" cy="3424428"/>
                  <wp:docPr id="4" name="Picture 4" descr="系统软件主流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ftware_flow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3424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F1B49">
      <w:pPr>
        <w:keepNext/>
        <w:spacing w:before="20" w:after="20"/>
        <w:jc w:val="center"/>
      </w:pPr>
      <w:r>
        <w:rPr>
          <w:rFonts w:ascii="Times New Roman" w:hAnsi="Times New Roman" w:eastAsia="宋体"/>
          <w:sz w:val="21"/>
        </w:rPr>
        <w:t>图3 主程序与多速率控制流程</w:t>
      </w:r>
    </w:p>
    <w:p w14:paraId="6BA244A2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任务模式：</w:t>
      </w:r>
      <w:r>
        <w:rPr>
          <w:b w:val="0"/>
          <w:color w:val="000000"/>
        </w:rPr>
        <w:t>任务2所需一圈计时、A点识别与停车状态尚待在底盘程序中加入；任务3代码入口已具备但当前关闭；任务4至6需要把底盘启动事件和滚球目标模式同时置位，并在通过B点或A点时锁存时间而不中断滚球控制。正式程序应统一定义IDLE、CALIBRATE、READY、RUN_T2至RUN_T6、FINISH和FAULT状态，显示模式、目标球位、当前球位、计时及故障码。</w:t>
      </w:r>
    </w:p>
    <w:p w14:paraId="051A4E94">
      <w:r>
        <w:br w:type="page"/>
      </w:r>
    </w:p>
    <w:p w14:paraId="1DA19895">
      <w:pPr>
        <w:pStyle w:val="3"/>
        <w:keepNext/>
      </w:pPr>
      <w:bookmarkStart w:id="13" w:name="_Toc32040"/>
      <w:r>
        <w:rPr>
          <w:rFonts w:ascii="Times New Roman" w:hAnsi="Times New Roman" w:eastAsia="宋体"/>
          <w:b/>
          <w:sz w:val="24"/>
        </w:rPr>
        <w:t>3、标定、限幅与故障处理</w:t>
      </w:r>
      <w:bookmarkEnd w:id="13"/>
    </w:p>
    <w:p w14:paraId="21E881A0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表5 标定与安全策略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2300"/>
        <w:gridCol w:w="1450"/>
        <w:gridCol w:w="1350"/>
        <w:gridCol w:w="1650"/>
      </w:tblGrid>
      <w:tr w14:paraId="6608F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C68E4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对象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F48C4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标定/检测方法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F6A2E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保存参数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08296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允许范围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0DE03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异常动作</w:t>
            </w:r>
          </w:p>
        </w:tc>
      </w:tr>
      <w:tr w14:paraId="105E3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67C307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循迹阵列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FD22B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K1采背景、K2采目标线；逐路归一化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D3D34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8路背景/目标线值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FA820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每路跨度&gt;=32 ADC count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AB271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拒绝循迹并报警</w:t>
            </w:r>
          </w:p>
        </w:tc>
      </w:tr>
      <w:tr w14:paraId="4A681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EFD853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左右轮/编码器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6791E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悬空方向检查与定长测速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2A927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方向、比例、PID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8A759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48791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停机并清控制历史</w:t>
            </w:r>
          </w:p>
        </w:tc>
      </w:tr>
      <w:tr w14:paraId="2DA75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B5AC50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摆杆水平与角度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C44C5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水平保存原点；分点测摆角-电机角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62A04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分段线性标定表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13A17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杆角正负2 deg；机械角正负40 deg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6E14F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停止并回安全角</w:t>
            </w:r>
          </w:p>
        </w:tc>
      </w:tr>
      <w:tr w14:paraId="5098F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E5B916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视觉中心与比例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3F26D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O点20帧均值；刻度点拟合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18A9D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u_O、pixel/cm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ACDE6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零点极差&lt;=0.5 cm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58DA0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超时用配置值并告警</w:t>
            </w:r>
          </w:p>
        </w:tc>
      </w:tr>
      <w:tr w14:paraId="16797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3FB923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球位软限位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3227F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按杆端安全距离设定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D197F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位置上下限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378AC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待最终装配测量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FD10F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冻结积分并回水平</w:t>
            </w:r>
          </w:p>
        </w:tc>
      </w:tr>
      <w:tr w14:paraId="60C0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1AAC7A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电池/通信/丢帧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51772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电压、UART响应和检测时间戳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4C202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阈值与超时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11F3F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视觉长丢失150 ms；其余待测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85A6F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底盘停车或摆杆回水平</w:t>
            </w:r>
          </w:p>
        </w:tc>
      </w:tr>
    </w:tbl>
    <w:p w14:paraId="45BF945E">
      <w:pPr>
        <w:spacing w:before="20" w:after="0"/>
      </w:pPr>
    </w:p>
    <w:p w14:paraId="205E3F65">
      <w:pPr>
        <w:widowControl/>
        <w:spacing w:before="0" w:after="0" w:line="440" w:lineRule="exact"/>
        <w:ind w:firstLine="420"/>
        <w:jc w:val="both"/>
      </w:pPr>
      <w:r>
        <w:rPr>
          <w:b/>
          <w:color w:val="000000"/>
        </w:rPr>
        <w:t>联调顺序：</w:t>
      </w:r>
      <w:r>
        <w:rPr>
          <w:b w:val="0"/>
          <w:color w:val="000000"/>
        </w:rPr>
        <w:t>第一步悬空验证两台MG513X正反转、编码器方向和急停；第二步完成八路背景/目标线标定并低速检查e_y符号；第三步只闭合轮速和角速度环，再启用循迹方向环；第四步将摆杆机械置水平并保存步进原点，逐点标定摆角-电机角；第五步固定车辆调中心保持，确认丢球回水平；第六步启用正负5 cm状态机；最后才进行底盘与滚球联合动态测试。每一步均以遥测、图像和重复试验通过为进入下一步的依据。</w:t>
      </w:r>
    </w:p>
    <w:p w14:paraId="1DF3EE3F">
      <w:pPr>
        <w:pStyle w:val="2"/>
        <w:keepNext/>
      </w:pPr>
      <w:bookmarkStart w:id="14" w:name="_Toc31573"/>
      <w:r>
        <w:rPr>
          <w:rFonts w:ascii="Times New Roman" w:hAnsi="Times New Roman" w:eastAsia="宋体"/>
          <w:b/>
          <w:sz w:val="28"/>
        </w:rPr>
        <w:t>四、测试方案与测试结果</w:t>
      </w:r>
      <w:bookmarkEnd w:id="14"/>
    </w:p>
    <w:p w14:paraId="05685ED9">
      <w:pPr>
        <w:pStyle w:val="3"/>
        <w:keepNext/>
      </w:pPr>
      <w:bookmarkStart w:id="15" w:name="_Toc22500"/>
      <w:r>
        <w:rPr>
          <w:rFonts w:ascii="Times New Roman" w:hAnsi="Times New Roman" w:eastAsia="宋体"/>
          <w:b/>
          <w:sz w:val="24"/>
        </w:rPr>
        <w:t>1、测试条件与仪器</w:t>
      </w:r>
      <w:bookmarkEnd w:id="15"/>
    </w:p>
    <w:p w14:paraId="1727DD2E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表6 测试环境与仪器记录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200"/>
        <w:gridCol w:w="1450"/>
        <w:gridCol w:w="1450"/>
        <w:gridCol w:w="1400"/>
      </w:tblGrid>
      <w:tr w14:paraId="4DC61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D7E72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项目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40E70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型号/设定或实测值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58B0C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精度/分辨率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4D831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用途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B8DB1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备注</w:t>
            </w:r>
          </w:p>
        </w:tc>
      </w:tr>
      <w:tr w14:paraId="69370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6EA5A7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场地直线段/圆弧半径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2B0E1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1.5 m / 0.5 m，待复核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8347A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待记录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EB7D6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场地复核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230EF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按题图</w:t>
            </w:r>
          </w:p>
        </w:tc>
      </w:tr>
      <w:tr w14:paraId="248FE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386575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黑线宽度/材质/照度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8B9A2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1.8+/-0.2 cm；材质/照度待测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89675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待记录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4C926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环境记录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D25AB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至少三种照度</w:t>
            </w:r>
          </w:p>
        </w:tc>
      </w:tr>
      <w:tr w14:paraId="1F560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EF1194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直尺/卡尺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6AD68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待填写型号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89111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待填写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904F6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位置与尺寸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B766C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测停车和机构</w:t>
            </w:r>
          </w:p>
        </w:tc>
      </w:tr>
      <w:tr w14:paraId="1D69A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3AE77A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秒表/视频时间戳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F9E14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车载计时+接收端视频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CF4D4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待校验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108FA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运行时间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D301F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双通道核对</w:t>
            </w:r>
          </w:p>
        </w:tc>
      </w:tr>
      <w:tr w14:paraId="00746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1264D2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示波器/万用表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E1795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待填写型号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BC674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待填写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FA0BA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PWM、UART和供电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B51D2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记录电池压降</w:t>
            </w:r>
          </w:p>
        </w:tc>
      </w:tr>
      <w:tr w14:paraId="44FF6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4E3E79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图传接收与录像设备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AF161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待选型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EA857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68B53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显示与回放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9C8CD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尚未接入</w:t>
            </w:r>
          </w:p>
        </w:tc>
      </w:tr>
      <w:tr w14:paraId="1B33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725DBF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电池状态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A208F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电压待测，使用时间待记录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01535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待填写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F831A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一致性控制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ABE27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每轮测试前记录</w:t>
            </w:r>
          </w:p>
        </w:tc>
      </w:tr>
    </w:tbl>
    <w:p w14:paraId="18CA9DA8">
      <w:pPr>
        <w:spacing w:before="20" w:after="0"/>
      </w:pPr>
    </w:p>
    <w:p w14:paraId="1772900D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测试前检查：</w:t>
      </w:r>
      <w:r>
        <w:rPr>
          <w:b w:val="0"/>
          <w:color w:val="000000"/>
        </w:rPr>
        <w:t>记录整车长宽、唯一测试位置、摆杆是否超出车身、铰点高度、25 cm PPR管内壁和刻度、钢球直径、摄像头全杆覆盖、车载供电电压以及图传录像完整性。当前机械装配和控制链仍在调试，所有尺寸、供电和图传项目均须在最终结构冻结后实测填写。</w:t>
      </w:r>
    </w:p>
    <w:p w14:paraId="6B095D94">
      <w:pPr>
        <w:pStyle w:val="3"/>
        <w:keepNext/>
      </w:pPr>
      <w:bookmarkStart w:id="16" w:name="_Toc6694"/>
      <w:r>
        <w:rPr>
          <w:rFonts w:ascii="Times New Roman" w:hAnsi="Times New Roman" w:eastAsia="宋体"/>
          <w:b/>
          <w:sz w:val="24"/>
        </w:rPr>
        <w:t>2、测试步骤与数据处理</w:t>
      </w:r>
      <w:bookmarkEnd w:id="16"/>
    </w:p>
    <w:p w14:paraId="35C27FC7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统一流程：</w:t>
      </w:r>
      <w:r>
        <w:rPr>
          <w:b w:val="0"/>
          <w:color w:val="000000"/>
        </w:rPr>
        <w:t>每项试验先完成灰度背景/目标线标定、步进回原点和球心零点标定，检查电池电压并选择任务；将车辆与钢球放到题目规定初始位置，按同一启动键开始计时，记录车载显示、接收端视频和串口日志。计时终点按通过B点、通过A点或停车事件区分。每项至少连续测试5次，脱轨、掉球、丢图或未完成的数据原样保留。</w:t>
      </w:r>
    </w:p>
    <w:p w14:paraId="06085908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建议每项至少连续测试5次。位置最大误差可按max|x-xr|计算，停车偏差按指定测试点到A点停车基准线的绝对距离记录；同时报告最大值、平均值，必要时增加标准差。原始视频、日志和表格应能相互追溯。</w:t>
      </w:r>
    </w:p>
    <w:p w14:paraId="10A02686">
      <w:pPr>
        <w:widowControl/>
        <w:spacing w:before="0" w:after="0" w:line="440" w:lineRule="exact"/>
        <w:ind w:firstLine="420"/>
        <w:jc w:val="both"/>
      </w:pPr>
      <w:r>
        <w:rPr>
          <w:b/>
          <w:color w:val="000000"/>
        </w:rPr>
        <w:t>数据处理约定：</w:t>
      </w:r>
      <w:r>
        <w:rPr>
          <w:b w:val="0"/>
          <w:color w:val="000000"/>
        </w:rPr>
        <w:t>摆杆坐标向执行机构端为正，位置误差取x-x_r的绝对值；最大误差为有效测试区间内max|x-x_r|，平均绝对误差为所有有效采样的|x-x_r|均值。停车偏差取车辆唯一测试位置与A点基准线的绝对距离。异常值不人工删除，只在日志中标明原因；时间保留0.01 s、位置保留0.1 cm，并同时保存原始值。</w:t>
      </w:r>
    </w:p>
    <w:p w14:paraId="6F9D1009">
      <w:pPr>
        <w:pStyle w:val="3"/>
        <w:keepNext/>
      </w:pPr>
      <w:bookmarkStart w:id="17" w:name="_Toc29698"/>
      <w:r>
        <w:rPr>
          <w:rFonts w:ascii="Times New Roman" w:hAnsi="Times New Roman" w:eastAsia="宋体"/>
          <w:b/>
          <w:sz w:val="24"/>
        </w:rPr>
        <w:t>3、分项测试记录</w:t>
      </w:r>
      <w:bookmarkEnd w:id="17"/>
    </w:p>
    <w:p w14:paraId="3A0F5C84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表B-1 图传装置测试结果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14:paraId="706CE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A2735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EBB96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FAB73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B84DF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380B3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810ED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B3DFF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统计值</w:t>
            </w:r>
          </w:p>
        </w:tc>
      </w:tr>
      <w:tr w14:paraId="24D7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01D39F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连续显示/录像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37FA6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1DA32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560FD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DF491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6470B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301C6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66188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398058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画面覆盖全摆杆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BD938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5719A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D0DDA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A10E3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6BDD8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E470A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37F83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79F72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文件可完整回放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6F931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E79EB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60378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E48A3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E9474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52600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46B42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2DFFEB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画面中断次数/次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60026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F3527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C0B30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95D60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0819A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C02F8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</w:tbl>
    <w:p w14:paraId="0A76669E">
      <w:pPr>
        <w:spacing w:before="20" w:after="0"/>
      </w:pPr>
    </w:p>
    <w:p w14:paraId="5D8BC106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表B-2 循迹一圈及A点停车测试结果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14:paraId="02617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68139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54B1B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81BB6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633BA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A10EE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55B20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FB03C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统计值</w:t>
            </w:r>
          </w:p>
        </w:tc>
      </w:tr>
      <w:tr w14:paraId="3B6E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DF496B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总时间/s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39BF7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83FB9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0F055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AAE2A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6DB1B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A3391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23D41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449104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停车偏差/cm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34A09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17910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296C0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470C3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777CE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F012A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755A2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3316C7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是否脱轨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67B80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88EAD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819E9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4C4B2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ACBC5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AC6AA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4EDB2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A9CA8C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是否完成停车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42024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4856F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864C0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C6C3E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05AA5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50D05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</w:tbl>
    <w:p w14:paraId="794188AB">
      <w:pPr>
        <w:spacing w:before="20" w:after="0"/>
      </w:pPr>
    </w:p>
    <w:p w14:paraId="047A28E9">
      <w:r>
        <w:br w:type="page"/>
      </w:r>
    </w:p>
    <w:p w14:paraId="5E64A9EC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表B-3 静态O→+5 cm→-5 cm测试结果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14:paraId="57B89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01F4B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B7B85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4FDE5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72553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A827C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69550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2EE56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统计值</w:t>
            </w:r>
          </w:p>
        </w:tc>
      </w:tr>
      <w:tr w14:paraId="0A96A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F400E6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运行时间/s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25D59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9604F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9B509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261FE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B4E77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BAEF7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20672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375BF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+5 cm最大误差/cm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726B3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98DDB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87305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F12EA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D62EC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38908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3E40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02DBB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-5 cm最大误差/cm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D9255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8B0B6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D4425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34B97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B6731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2B931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77DEC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3E8F5B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是否完成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525E4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9ADCE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CAD06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22902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64062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D2AFC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</w:tbl>
    <w:p w14:paraId="468AC79E">
      <w:pPr>
        <w:spacing w:before="20" w:after="0"/>
      </w:pPr>
    </w:p>
    <w:p w14:paraId="738718E1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表B-4 A-B段动态中心稳定测试结果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14:paraId="1EA7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366D0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DFCE4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66DB0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E6399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6148B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AEC18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F3405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统计值</w:t>
            </w:r>
          </w:p>
        </w:tc>
      </w:tr>
      <w:tr w14:paraId="778ED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E0B163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A-B时间/s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4F2BC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265B8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5307A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26E10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EE0C8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E973F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3B185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CE8553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中心最大误差/cm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66A97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83235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48D33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8519A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5EC03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29E33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42CE2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69FE5E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平均绝对误差/cm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B4022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F0B29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1B948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DDC34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96FF5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3603B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664D7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9EAE65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是否脱轨/掉球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6CA3E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399C9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29D10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3D3A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CFD1B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1C8B0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</w:tbl>
    <w:p w14:paraId="4A677EB2">
      <w:pPr>
        <w:spacing w:before="20" w:after="0"/>
      </w:pPr>
    </w:p>
    <w:p w14:paraId="6FBA000F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表B-5 一圈动态中心稳定测试结果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14:paraId="2062F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AFF24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57B3A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C3CEF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3A115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4A7B0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11D50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35F1C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统计值</w:t>
            </w:r>
          </w:p>
        </w:tc>
      </w:tr>
      <w:tr w14:paraId="40649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A0EC95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整圈时间/s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ACBD7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806E8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00A50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C0964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47379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1540C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36E9C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E232D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中心最大误差/cm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39C20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2D157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D176C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C37EF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D2701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3DB8B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17799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2610B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平均绝对误差/cm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47F64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EE2DA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613B3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04E04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A42F5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A5790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40416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A62CA8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是否脱轨/掉球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FDDB7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CDF1B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A5064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E5B14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035CB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69693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</w:tbl>
    <w:p w14:paraId="4D7B92A2">
      <w:pPr>
        <w:spacing w:before="20" w:after="0"/>
      </w:pPr>
    </w:p>
    <w:p w14:paraId="7D4D9B95">
      <w:r>
        <w:br w:type="page"/>
      </w:r>
    </w:p>
    <w:p w14:paraId="0E476443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表B-6 一圈任意指定位置稳定测试结果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00"/>
        <w:gridCol w:w="1500"/>
        <w:gridCol w:w="1450"/>
        <w:gridCol w:w="1450"/>
        <w:gridCol w:w="1400"/>
      </w:tblGrid>
      <w:tr w14:paraId="73E67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A09B5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次数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46B54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目标位置/cm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BFB55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整圈时间/s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40BFA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最大误差/cm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AB7D7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平均误差/cm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D0552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脱轨/掉球</w:t>
            </w:r>
          </w:p>
        </w:tc>
      </w:tr>
      <w:tr w14:paraId="02E5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DA5C6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D19E6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528FB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E49FE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A1DC3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10694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</w:tr>
      <w:tr w14:paraId="0EDE9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FD139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642D4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BA9BE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E894D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3B2D1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5D8EA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</w:tr>
      <w:tr w14:paraId="51CCA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36665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E16B7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42373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17D59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AF7EF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D35DA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</w:tr>
      <w:tr w14:paraId="12F64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C1487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D0F92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E0883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A6ABF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50571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4E225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</w:tr>
      <w:tr w14:paraId="17045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A9377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7699C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0FD66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44C0B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5D71E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6597E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</w:tr>
      <w:tr w14:paraId="0DE4D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2D6B6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统计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2EEF4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-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E0805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6D36A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4C33E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7B831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</w:tbl>
    <w:p w14:paraId="09255CF6">
      <w:pPr>
        <w:spacing w:before="20" w:after="0"/>
      </w:pPr>
    </w:p>
    <w:p w14:paraId="353D309A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指定位置说明：</w:t>
      </w:r>
      <w:r>
        <w:rPr>
          <w:b w:val="0"/>
          <w:color w:val="000000"/>
        </w:rPr>
        <w:t>5次目标位置应覆盖中心两侧且远离杆端安全区，例如由裁判或队员在允许范围内逐次指定；最终位置范围和0.1 cm设定分辨率待程序实现后确认。每次测试前应回到已保存的机械原点，并检查u_O和像素比例；只有相机或支架发生位移时才重新做完整标定。</w:t>
      </w:r>
    </w:p>
    <w:p w14:paraId="71F965AC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证据索引：</w:t>
      </w:r>
      <w:r>
        <w:rPr>
          <w:b w:val="0"/>
          <w:color w:val="000000"/>
        </w:rPr>
        <w:t>当前尚无任务6录像和控制日志。后续按“T6_日期_次数_目标位置”统一命名视频与CSV日志，并记录开始、再次通过A点和最大误差所在时间戳；表B-6每一行必须能追溯到对应文件，不允许只保留统计值。</w:t>
      </w:r>
    </w:p>
    <w:p w14:paraId="11D579EB">
      <w:r>
        <w:br w:type="page"/>
      </w:r>
    </w:p>
    <w:p w14:paraId="7416840E">
      <w:pPr>
        <w:pStyle w:val="3"/>
        <w:keepNext/>
      </w:pPr>
      <w:bookmarkStart w:id="18" w:name="_Toc19256"/>
      <w:r>
        <w:rPr>
          <w:rFonts w:ascii="Times New Roman" w:hAnsi="Times New Roman" w:eastAsia="宋体"/>
          <w:b/>
          <w:sz w:val="24"/>
        </w:rPr>
        <w:t>4、结果判定与误差分析</w:t>
      </w:r>
      <w:bookmarkEnd w:id="18"/>
    </w:p>
    <w:p w14:paraId="2698584E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表7 指标达成汇总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650"/>
        <w:gridCol w:w="1950"/>
        <w:gridCol w:w="1200"/>
        <w:gridCol w:w="1750"/>
      </w:tblGrid>
      <w:tr w14:paraId="31EEB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24A52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任务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B01CC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题目限值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8B0DA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本队最不利结果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6B5EE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是否达成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A2FDF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证据位置</w:t>
            </w:r>
          </w:p>
        </w:tc>
      </w:tr>
      <w:tr w14:paraId="12B08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545207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图传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BB5A4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按题目要求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C7ECB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9C117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未判定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0C2CC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视频待建立/表B-1</w:t>
            </w:r>
          </w:p>
        </w:tc>
      </w:tr>
      <w:tr w14:paraId="3047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14BBC9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循迹停车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26E99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&lt;=20 s；&lt;=2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A5FB5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2CF30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未判定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6EFA1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表B-2</w:t>
            </w:r>
          </w:p>
        </w:tc>
      </w:tr>
      <w:tr w14:paraId="5C286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6610DB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静态往返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5A985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&lt;=5 s；&lt;=1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C3CD1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D16AE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未判定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35EB5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表B-3</w:t>
            </w:r>
          </w:p>
        </w:tc>
      </w:tr>
      <w:tr w14:paraId="12B30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48445F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A-B中心稳定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30920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&lt;=8 s；&lt;=1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BAA4C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5BB12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未判定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82FC4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表B-4</w:t>
            </w:r>
          </w:p>
        </w:tc>
      </w:tr>
      <w:tr w14:paraId="25F9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E7DA99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一圈中心稳定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9AC76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&lt;=30 s；&lt;=1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EE7A5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AC084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未判定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A0894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表B-5</w:t>
            </w:r>
          </w:p>
        </w:tc>
      </w:tr>
      <w:tr w14:paraId="373ED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38E4D3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任意位置稳定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2E7B7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&lt;=30 s；&lt;=1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80E2A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EF16A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未判定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BAE88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表B-6</w:t>
            </w:r>
          </w:p>
        </w:tc>
      </w:tr>
    </w:tbl>
    <w:p w14:paraId="30EEDAE9">
      <w:pPr>
        <w:spacing w:before="20" w:after="0"/>
      </w:pPr>
    </w:p>
    <w:p w14:paraId="5FE2DA75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误差来源：</w:t>
      </w:r>
      <w:r>
        <w:rPr>
          <w:b w:val="0"/>
          <w:color w:val="000000"/>
        </w:rPr>
        <w:t>一是钢球高光、槽壁阴影和相机安装变化会移动灰度暗度峰值，影响像素位置；应通过固定曝光、遮光、端点标定和误检日志验证。二是60 fps采集、30 Hz控制和150 ms估速窗口引入相位延迟，增益过高时会造成振荡；应测端到端延迟并按速度环先行的顺序整定。三是步进电机、摇臂、连杆和铰点的回差使同一指令对应不同摆角；应从同一方向逼近标定并测往返差。四是底盘加减速、轮胎打滑和电池压降改变扰动与执行能力；应同步记录轮速、电压和球位并分段限速。</w:t>
      </w:r>
    </w:p>
    <w:p w14:paraId="5BF312C4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失败记录：</w:t>
      </w:r>
      <w:r>
        <w:rPr>
          <w:b w:val="0"/>
          <w:color w:val="000000"/>
        </w:rPr>
        <w:t>当前处于初级调试阶段，尚未形成可用于评分判定的5次连续测试样本。调试中出现的丢线、球位无效、步进回零失败、串口无响应、超时回水平和未完成任务均应记录发生条件、遥测值、视频时间段、处理措施及复测结果；在表B-1至表B-6填满前不得写“全部成功”。</w:t>
      </w:r>
    </w:p>
    <w:p w14:paraId="2D0A9352">
      <w:r>
        <w:br w:type="page"/>
      </w:r>
    </w:p>
    <w:p w14:paraId="5D847086">
      <w:pPr>
        <w:pStyle w:val="2"/>
        <w:keepNext/>
      </w:pPr>
      <w:bookmarkStart w:id="19" w:name="_Toc806"/>
      <w:r>
        <w:rPr>
          <w:rFonts w:ascii="Times New Roman" w:hAnsi="Times New Roman" w:eastAsia="宋体"/>
          <w:b/>
          <w:sz w:val="28"/>
        </w:rPr>
        <w:t>五、结论与改进</w:t>
      </w:r>
      <w:bookmarkEnd w:id="19"/>
    </w:p>
    <w:p w14:paraId="7D200AA1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结论：</w:t>
      </w:r>
      <w:r>
        <w:rPr>
          <w:b w:val="0"/>
          <w:color w:val="000000"/>
        </w:rPr>
        <w:t>本阶段已完成基于MSPM0G3507、八路红外、AT8236和两台MG513X的底盘控制程序框架，以及基于MaixCAM Pro灰度视觉、位置/速度估计、级联控制和42型步进电机连杆机构的滚球控制链。底盘工程最新构建记录为0错误、0警告，滚球程序已具备中心保持、丢球回水平和未启用的正负5 cm状态机。由于循迹一圈停车、图传装置和表B-1至表B-6尚未实测，本稿不能判定任务2至任务6是否达标；最终结论必须由连续测试数据替换。</w:t>
      </w:r>
    </w:p>
    <w:p w14:paraId="31BF9D0B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不足与改进：</w:t>
      </w:r>
      <w:r>
        <w:rPr>
          <w:b w:val="0"/>
          <w:color w:val="000000"/>
        </w:rPr>
        <w:t>当前最明确的瓶颈是循迹软件上限0.30 m/s对应理想一圈约20.47 s，尚无20 s任务裕量；应在低速稳定后提高直线速度并加入A点预减速和制动。滚球端需要实测22.4 pixel/cm比例、连杆标定表、步进回差和视觉延迟，再决定是否加入积分或模型前馈。图传发送/接收与录像链尚未接入，应优先完成，避免控制完成后仍无法满足任务1。</w:t>
      </w:r>
    </w:p>
    <w:p w14:paraId="2CDB0F52">
      <w:pPr>
        <w:pStyle w:val="2"/>
        <w:keepNext/>
      </w:pPr>
      <w:bookmarkStart w:id="20" w:name="_Toc7898"/>
      <w:r>
        <w:rPr>
          <w:rFonts w:ascii="Times New Roman" w:hAnsi="Times New Roman" w:eastAsia="宋体"/>
          <w:b/>
          <w:sz w:val="28"/>
        </w:rPr>
        <w:t>六、参考文献</w:t>
      </w:r>
      <w:bookmarkEnd w:id="20"/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b w:val="0"/>
          <w:color w:val="000000"/>
        </w:rPr>
        <w:t>以下资料用于当前设计依据，最终提交时应补齐版本号、发布日期和访问日期。</w:t>
      </w:r>
    </w:p>
    <w:p w14:paraId="23D102CD">
      <w:pPr>
        <w:widowControl/>
        <w:spacing w:before="0" w:after="0" w:line="360" w:lineRule="exact"/>
        <w:ind w:firstLine="0"/>
        <w:jc w:val="both"/>
      </w:pPr>
      <w:r>
        <w:rPr>
          <w:b w:val="0"/>
          <w:color w:val="000000"/>
        </w:rPr>
        <w:t>[1] 2026年全国大学生电子设计竞赛组委会. 车载平衡滚球运动控制系统（H题）[Z]. 2026.</w:t>
      </w:r>
    </w:p>
    <w:p w14:paraId="2D5712F6">
      <w:pPr>
        <w:widowControl/>
        <w:spacing w:before="0" w:after="0" w:line="360" w:lineRule="exact"/>
        <w:ind w:firstLine="0"/>
        <w:jc w:val="both"/>
      </w:pPr>
      <w:r>
        <w:rPr>
          <w:b w:val="0"/>
          <w:color w:val="000000"/>
        </w:rPr>
        <w:t>[2] Texas Instruments. MSPM0G350x Mixed-Signal Microcontrollers Data Sheet[EB/OL].</w:t>
      </w:r>
    </w:p>
    <w:p w14:paraId="770EF8DB">
      <w:pPr>
        <w:widowControl/>
        <w:spacing w:before="0" w:after="0" w:line="360" w:lineRule="exact"/>
        <w:ind w:firstLine="0"/>
        <w:jc w:val="both"/>
      </w:pPr>
      <w:r>
        <w:rPr>
          <w:b w:val="0"/>
          <w:color w:val="000000"/>
        </w:rPr>
        <w:t>[3] AT8236双通道直流电机驱动芯片数据手册[EB/OL].</w:t>
      </w:r>
    </w:p>
    <w:p w14:paraId="6AC6114F">
      <w:pPr>
        <w:widowControl/>
        <w:spacing w:before="0" w:after="0" w:line="360" w:lineRule="exact"/>
        <w:ind w:firstLine="0"/>
        <w:jc w:val="both"/>
      </w:pPr>
      <w:r>
        <w:rPr>
          <w:b w:val="0"/>
          <w:color w:val="000000"/>
        </w:rPr>
        <w:t>[4] Sipeed. MaixCAM Pro与MaixPy官方文档[EB/OL].</w:t>
      </w:r>
    </w:p>
    <w:p w14:paraId="48079E4B">
      <w:pPr>
        <w:widowControl/>
        <w:spacing w:before="0" w:after="0" w:line="360" w:lineRule="exact"/>
        <w:ind w:firstLine="0"/>
        <w:jc w:val="both"/>
      </w:pPr>
      <w:r>
        <w:rPr>
          <w:b w:val="0"/>
          <w:color w:val="000000"/>
        </w:rPr>
        <w:t>[5] 张大头闭环步进驱动器. X42S串口通信协议与使用说明[EB/OL].</w:t>
      </w:r>
    </w:p>
    <w:p w14:paraId="5E7B7305">
      <w:pPr>
        <w:widowControl/>
        <w:spacing w:before="0" w:after="0" w:line="360" w:lineRule="exact"/>
        <w:ind w:firstLine="0"/>
        <w:jc w:val="both"/>
      </w:pPr>
      <w:r>
        <w:rPr>
          <w:b w:val="0"/>
          <w:color w:val="000000"/>
        </w:rPr>
        <w:t>[6] 胡寿松. 自动控制原理[M]. 北京: 科学出版社.</w:t>
      </w:r>
    </w:p>
    <w:p w14:paraId="75B88B6F">
      <w:r>
        <w:br w:type="page"/>
      </w:r>
    </w:p>
    <w:p w14:paraId="6133AD2E">
      <w:pPr>
        <w:pStyle w:val="2"/>
        <w:keepNext/>
      </w:pPr>
      <w:bookmarkStart w:id="21" w:name="_Toc19640"/>
      <w:r>
        <w:rPr>
          <w:rFonts w:ascii="Times New Roman" w:hAnsi="Times New Roman" w:eastAsia="宋体"/>
          <w:b/>
          <w:sz w:val="28"/>
        </w:rPr>
        <w:t>附录：提交材料与核心程序索引</w:t>
      </w:r>
      <w:bookmarkEnd w:id="21"/>
    </w:p>
    <w:p w14:paraId="4ED74649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表A-1 提交材料索引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550"/>
        <w:gridCol w:w="1500"/>
        <w:gridCol w:w="2550"/>
      </w:tblGrid>
      <w:tr w14:paraId="52B69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A215A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材料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43FF0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文件名/路径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119E1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对应任务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92FF2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说明</w:t>
            </w:r>
          </w:p>
        </w:tc>
      </w:tr>
      <w:tr w14:paraId="5F2DE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ADDDE4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主控程序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34BD7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MSPM0G3507_Diansai_Test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186C2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循迹、底盘安全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2BB78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Keil MDK-ARM 6.19；v24构建0错误0警告</w:t>
            </w:r>
          </w:p>
        </w:tc>
      </w:tr>
      <w:tr w14:paraId="1491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F3026C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视觉程序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3CFEA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main.py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DF7AE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球位识别与滚球控制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BD57D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MaixCAM Pro；灰度剖面与30 Hz级联</w:t>
            </w:r>
          </w:p>
        </w:tc>
      </w:tr>
      <w:tr w14:paraId="31D97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77EA7F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电路图/PCB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81FF5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待整理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87326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底盘与电源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F1913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版本待确认</w:t>
            </w:r>
          </w:p>
        </w:tc>
      </w:tr>
      <w:tr w14:paraId="799AE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21A42B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机械图/尺寸图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1C74B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26年H题车载水平小球/H42装配.stp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6F543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摆杆与执行机构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C480D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SolidWorks装配与STEP；尺寸待冻结</w:t>
            </w:r>
          </w:p>
        </w:tc>
      </w:tr>
      <w:tr w14:paraId="65118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C3C7EB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原始测试数据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AC68D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待建立data目录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D5C1C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B-1至B-6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367D9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必须保留逐次原始值</w:t>
            </w:r>
          </w:p>
        </w:tc>
      </w:tr>
      <w:tr w14:paraId="216B2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31F73D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录像与日志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367A8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待建立video/log目录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C2EBC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任务1至6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C34B1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时间戳对应关系待填写</w:t>
            </w:r>
          </w:p>
        </w:tc>
      </w:tr>
    </w:tbl>
    <w:p w14:paraId="69464842">
      <w:pPr>
        <w:spacing w:before="20" w:after="0"/>
      </w:pPr>
    </w:p>
    <w:p w14:paraId="44CA86A8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核心代码说明：</w:t>
      </w:r>
      <w:r>
        <w:rPr>
          <w:b w:val="0"/>
          <w:color w:val="000000"/>
        </w:rPr>
        <w:t>底盘核心入口为MSPM0G3507_Diansai_Test/Code/vehicle_line_control.c中的VehicleLine_Update()，每20 ms读取八路归一化值并输出目标偏航角速度，随后由vehicle_cascade_control.c生成左右轮目标与PWM；电机桥控制位于vehicle_motor.c。滚球核心入口为main.py中的GrayProfileBallDetector.detect()、VelocityEstimator.update()和CascadeController.update()，约33 ms计算一次目标摆角，再由pipe_angle_to_motor_angle()和MotorController.goto_motor_angle()发送绝对位置帧。对应正文公式见第二章第1、3、4节。</w:t>
      </w:r>
    </w:p>
    <w:p w14:paraId="3ACF903B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最终自检：</w:t>
      </w:r>
      <w:r>
        <w:rPr>
          <w:b w:val="0"/>
          <w:color w:val="000000"/>
        </w:rPr>
        <w:t>正文已将母版提示替换为实际方案或“待确认/待实测”，并保留所有原表格和章节位置。封面按本次要求原样保留，因此仍含母版日期提示和“填写通用模板”字样；最终参赛提交前是否填写日期或删除提示，必须由队伍另行确认。完成测试后还需搜索“待实测”“待确认”，核对图表编号和单位，并在Word中按Ctrl+A、F9更新目录与页码。</w:t>
      </w:r>
    </w:p>
    <w:sectPr>
      <w:headerReference r:id="rId9" w:type="default"/>
      <w:footerReference r:id="rId10" w:type="default"/>
      <w:pgSz w:w="11906" w:h="16838"/>
      <w:pgMar w:top="1871" w:right="1800" w:bottom="1440" w:left="1800" w:header="851" w:footer="992" w:gutter="0"/>
      <w:pgNumType w:fmt="decimal" w:start="1"/>
      <w:cols w:space="0" w:num="1"/>
      <w:docGrid w:type="lines" w:linePitch="31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46F4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4BCD8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3B829">
    <w:pPr>
      <w:spacing w:before="0" w:after="0"/>
      <w:jc w:val="right"/>
    </w:pP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 PAGE 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B6A3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DE52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215F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9E6359"/>
    <w:rsid w:val="00022920"/>
    <w:rsid w:val="00053A63"/>
    <w:rsid w:val="000A54D4"/>
    <w:rsid w:val="000C0AD6"/>
    <w:rsid w:val="00104E88"/>
    <w:rsid w:val="00116B79"/>
    <w:rsid w:val="00117262"/>
    <w:rsid w:val="00153591"/>
    <w:rsid w:val="00155106"/>
    <w:rsid w:val="001627CD"/>
    <w:rsid w:val="00181CA8"/>
    <w:rsid w:val="001C2617"/>
    <w:rsid w:val="002257C3"/>
    <w:rsid w:val="00255E12"/>
    <w:rsid w:val="002703A7"/>
    <w:rsid w:val="002929E7"/>
    <w:rsid w:val="002973B4"/>
    <w:rsid w:val="002A34D6"/>
    <w:rsid w:val="00311C74"/>
    <w:rsid w:val="00314F0F"/>
    <w:rsid w:val="003352BE"/>
    <w:rsid w:val="003566D1"/>
    <w:rsid w:val="0037662A"/>
    <w:rsid w:val="00381BD0"/>
    <w:rsid w:val="003D3969"/>
    <w:rsid w:val="003D6BAA"/>
    <w:rsid w:val="00417207"/>
    <w:rsid w:val="00433B14"/>
    <w:rsid w:val="004479C7"/>
    <w:rsid w:val="004707C7"/>
    <w:rsid w:val="004872C4"/>
    <w:rsid w:val="00494D02"/>
    <w:rsid w:val="004A0A0B"/>
    <w:rsid w:val="004A144F"/>
    <w:rsid w:val="004D62BA"/>
    <w:rsid w:val="004E58F5"/>
    <w:rsid w:val="005473BB"/>
    <w:rsid w:val="00563129"/>
    <w:rsid w:val="005709C3"/>
    <w:rsid w:val="00574871"/>
    <w:rsid w:val="00584F33"/>
    <w:rsid w:val="0059267C"/>
    <w:rsid w:val="005D7EFA"/>
    <w:rsid w:val="005E6F0D"/>
    <w:rsid w:val="00666322"/>
    <w:rsid w:val="00675D33"/>
    <w:rsid w:val="006C2F20"/>
    <w:rsid w:val="007541A8"/>
    <w:rsid w:val="007618D0"/>
    <w:rsid w:val="00764373"/>
    <w:rsid w:val="00767A71"/>
    <w:rsid w:val="007733F2"/>
    <w:rsid w:val="007B0BFD"/>
    <w:rsid w:val="007B4894"/>
    <w:rsid w:val="007B5F3B"/>
    <w:rsid w:val="007B79E9"/>
    <w:rsid w:val="007C1168"/>
    <w:rsid w:val="007C4E84"/>
    <w:rsid w:val="007C53B9"/>
    <w:rsid w:val="007C6ADF"/>
    <w:rsid w:val="007D2361"/>
    <w:rsid w:val="007D64C5"/>
    <w:rsid w:val="007E1173"/>
    <w:rsid w:val="007E4752"/>
    <w:rsid w:val="007E5F51"/>
    <w:rsid w:val="00807079"/>
    <w:rsid w:val="008125BD"/>
    <w:rsid w:val="00826E8E"/>
    <w:rsid w:val="008336BE"/>
    <w:rsid w:val="008431F9"/>
    <w:rsid w:val="00852FB3"/>
    <w:rsid w:val="00853149"/>
    <w:rsid w:val="008564D5"/>
    <w:rsid w:val="008572BF"/>
    <w:rsid w:val="008652F6"/>
    <w:rsid w:val="008A0B61"/>
    <w:rsid w:val="008A552D"/>
    <w:rsid w:val="008B4F62"/>
    <w:rsid w:val="008C3255"/>
    <w:rsid w:val="008D10FD"/>
    <w:rsid w:val="0092257C"/>
    <w:rsid w:val="0093398D"/>
    <w:rsid w:val="0094768E"/>
    <w:rsid w:val="009550C6"/>
    <w:rsid w:val="009751DF"/>
    <w:rsid w:val="00983759"/>
    <w:rsid w:val="00986670"/>
    <w:rsid w:val="0099241B"/>
    <w:rsid w:val="009A28EA"/>
    <w:rsid w:val="009B283B"/>
    <w:rsid w:val="009B738C"/>
    <w:rsid w:val="009D2BBF"/>
    <w:rsid w:val="00A627D7"/>
    <w:rsid w:val="00A758E3"/>
    <w:rsid w:val="00AA11FF"/>
    <w:rsid w:val="00AC0203"/>
    <w:rsid w:val="00B30378"/>
    <w:rsid w:val="00B3484C"/>
    <w:rsid w:val="00B463B5"/>
    <w:rsid w:val="00B52C2E"/>
    <w:rsid w:val="00B6060D"/>
    <w:rsid w:val="00B61EC3"/>
    <w:rsid w:val="00B620DF"/>
    <w:rsid w:val="00B62777"/>
    <w:rsid w:val="00B6654E"/>
    <w:rsid w:val="00B74726"/>
    <w:rsid w:val="00B85437"/>
    <w:rsid w:val="00BB2B0C"/>
    <w:rsid w:val="00BD2B89"/>
    <w:rsid w:val="00BE5BDF"/>
    <w:rsid w:val="00BF3217"/>
    <w:rsid w:val="00C13E7A"/>
    <w:rsid w:val="00C23FD2"/>
    <w:rsid w:val="00C25E3D"/>
    <w:rsid w:val="00C42E48"/>
    <w:rsid w:val="00C53F36"/>
    <w:rsid w:val="00C55052"/>
    <w:rsid w:val="00C74395"/>
    <w:rsid w:val="00C94D7A"/>
    <w:rsid w:val="00CA24DD"/>
    <w:rsid w:val="00CA539E"/>
    <w:rsid w:val="00CB4946"/>
    <w:rsid w:val="00CB5F93"/>
    <w:rsid w:val="00CC01F2"/>
    <w:rsid w:val="00CD78D6"/>
    <w:rsid w:val="00CE6166"/>
    <w:rsid w:val="00CF222B"/>
    <w:rsid w:val="00D04F99"/>
    <w:rsid w:val="00D20498"/>
    <w:rsid w:val="00D36D5F"/>
    <w:rsid w:val="00D46FCC"/>
    <w:rsid w:val="00D7067E"/>
    <w:rsid w:val="00D71CCA"/>
    <w:rsid w:val="00D972C1"/>
    <w:rsid w:val="00DE4103"/>
    <w:rsid w:val="00DF01D6"/>
    <w:rsid w:val="00E12B5E"/>
    <w:rsid w:val="00E138AF"/>
    <w:rsid w:val="00E21F37"/>
    <w:rsid w:val="00E44AC7"/>
    <w:rsid w:val="00EB2581"/>
    <w:rsid w:val="00EC7656"/>
    <w:rsid w:val="00EE284B"/>
    <w:rsid w:val="00EE56C7"/>
    <w:rsid w:val="00F32282"/>
    <w:rsid w:val="00F40C46"/>
    <w:rsid w:val="00F66259"/>
    <w:rsid w:val="00FB2DB8"/>
    <w:rsid w:val="00FB34A4"/>
    <w:rsid w:val="00FC0544"/>
    <w:rsid w:val="00FC0A4F"/>
    <w:rsid w:val="00FF6C6D"/>
    <w:rsid w:val="010279D9"/>
    <w:rsid w:val="021342EA"/>
    <w:rsid w:val="02276B22"/>
    <w:rsid w:val="03154647"/>
    <w:rsid w:val="03874A0F"/>
    <w:rsid w:val="039C4890"/>
    <w:rsid w:val="03A70522"/>
    <w:rsid w:val="045F1306"/>
    <w:rsid w:val="050E7391"/>
    <w:rsid w:val="05352358"/>
    <w:rsid w:val="053A0769"/>
    <w:rsid w:val="05DD53A1"/>
    <w:rsid w:val="065177D6"/>
    <w:rsid w:val="06825098"/>
    <w:rsid w:val="06B0346E"/>
    <w:rsid w:val="06D1248D"/>
    <w:rsid w:val="07114FC0"/>
    <w:rsid w:val="07540525"/>
    <w:rsid w:val="07571D14"/>
    <w:rsid w:val="076C5AF9"/>
    <w:rsid w:val="07A318E6"/>
    <w:rsid w:val="07F207ED"/>
    <w:rsid w:val="084719E9"/>
    <w:rsid w:val="08E47A16"/>
    <w:rsid w:val="09E20182"/>
    <w:rsid w:val="09E47660"/>
    <w:rsid w:val="0A77408A"/>
    <w:rsid w:val="0A937E75"/>
    <w:rsid w:val="0B88099C"/>
    <w:rsid w:val="0C5B26E5"/>
    <w:rsid w:val="0C6F5B86"/>
    <w:rsid w:val="0CDB058B"/>
    <w:rsid w:val="0D3104AA"/>
    <w:rsid w:val="0D9E0368"/>
    <w:rsid w:val="0E4A3E0F"/>
    <w:rsid w:val="0E70216E"/>
    <w:rsid w:val="0E713997"/>
    <w:rsid w:val="0F9F15DD"/>
    <w:rsid w:val="108701A4"/>
    <w:rsid w:val="109E6359"/>
    <w:rsid w:val="10A10185"/>
    <w:rsid w:val="11DB4231"/>
    <w:rsid w:val="11E93F48"/>
    <w:rsid w:val="11F95FCD"/>
    <w:rsid w:val="11FA7CA9"/>
    <w:rsid w:val="11FE4E24"/>
    <w:rsid w:val="12080FBA"/>
    <w:rsid w:val="126D7C22"/>
    <w:rsid w:val="133B4697"/>
    <w:rsid w:val="13B567D8"/>
    <w:rsid w:val="13F01088"/>
    <w:rsid w:val="14293EDD"/>
    <w:rsid w:val="149B12C4"/>
    <w:rsid w:val="15963663"/>
    <w:rsid w:val="16067E77"/>
    <w:rsid w:val="16187F14"/>
    <w:rsid w:val="16D3736F"/>
    <w:rsid w:val="17731E50"/>
    <w:rsid w:val="177728F3"/>
    <w:rsid w:val="19473285"/>
    <w:rsid w:val="19EE1D51"/>
    <w:rsid w:val="1A477BF2"/>
    <w:rsid w:val="1A9338A5"/>
    <w:rsid w:val="1B3530E9"/>
    <w:rsid w:val="1B372A38"/>
    <w:rsid w:val="1B6374D4"/>
    <w:rsid w:val="1BA2498B"/>
    <w:rsid w:val="1BA43042"/>
    <w:rsid w:val="1C16530B"/>
    <w:rsid w:val="1C99656B"/>
    <w:rsid w:val="1CA4563B"/>
    <w:rsid w:val="1CBC08B8"/>
    <w:rsid w:val="1D0C4698"/>
    <w:rsid w:val="1DDD33C7"/>
    <w:rsid w:val="1DFA1DBC"/>
    <w:rsid w:val="1E0F1018"/>
    <w:rsid w:val="1E707ECB"/>
    <w:rsid w:val="1FB04D07"/>
    <w:rsid w:val="206465C4"/>
    <w:rsid w:val="21E16D36"/>
    <w:rsid w:val="22BA1468"/>
    <w:rsid w:val="235B7F52"/>
    <w:rsid w:val="246F1DB3"/>
    <w:rsid w:val="259E2718"/>
    <w:rsid w:val="263B7B93"/>
    <w:rsid w:val="2674125F"/>
    <w:rsid w:val="27677EB1"/>
    <w:rsid w:val="277363A3"/>
    <w:rsid w:val="287947FF"/>
    <w:rsid w:val="29FB685B"/>
    <w:rsid w:val="2A9C523D"/>
    <w:rsid w:val="2AA8541D"/>
    <w:rsid w:val="2B05199B"/>
    <w:rsid w:val="2B2D415A"/>
    <w:rsid w:val="2B5532F5"/>
    <w:rsid w:val="2B86357B"/>
    <w:rsid w:val="2BF801E0"/>
    <w:rsid w:val="2C27633C"/>
    <w:rsid w:val="2CA34E15"/>
    <w:rsid w:val="2D3609BA"/>
    <w:rsid w:val="2DED126B"/>
    <w:rsid w:val="2E1A39AF"/>
    <w:rsid w:val="2E285E00"/>
    <w:rsid w:val="2E3C6656"/>
    <w:rsid w:val="2EAC3B19"/>
    <w:rsid w:val="2FD119E8"/>
    <w:rsid w:val="30AC0AE7"/>
    <w:rsid w:val="30DE1DEA"/>
    <w:rsid w:val="31A2295C"/>
    <w:rsid w:val="31FA7822"/>
    <w:rsid w:val="329F334C"/>
    <w:rsid w:val="32AE26CD"/>
    <w:rsid w:val="333A23FE"/>
    <w:rsid w:val="33A44776"/>
    <w:rsid w:val="33C1661F"/>
    <w:rsid w:val="34AD2474"/>
    <w:rsid w:val="352D6FA9"/>
    <w:rsid w:val="356472D4"/>
    <w:rsid w:val="363B5ACF"/>
    <w:rsid w:val="36455271"/>
    <w:rsid w:val="367529DA"/>
    <w:rsid w:val="3697169A"/>
    <w:rsid w:val="36A624DA"/>
    <w:rsid w:val="36D65E5D"/>
    <w:rsid w:val="37426FDE"/>
    <w:rsid w:val="37ED64A6"/>
    <w:rsid w:val="389F0576"/>
    <w:rsid w:val="39034F79"/>
    <w:rsid w:val="39127433"/>
    <w:rsid w:val="39194863"/>
    <w:rsid w:val="39A31405"/>
    <w:rsid w:val="39C26478"/>
    <w:rsid w:val="3B1B46DE"/>
    <w:rsid w:val="3B220632"/>
    <w:rsid w:val="3B383E02"/>
    <w:rsid w:val="3B5652BB"/>
    <w:rsid w:val="3B57797F"/>
    <w:rsid w:val="3C2D5D4F"/>
    <w:rsid w:val="3CE46145"/>
    <w:rsid w:val="3D5A1E03"/>
    <w:rsid w:val="3D705466"/>
    <w:rsid w:val="3F476748"/>
    <w:rsid w:val="3F5923A4"/>
    <w:rsid w:val="3FA95ECC"/>
    <w:rsid w:val="3FD7049B"/>
    <w:rsid w:val="3FFC28DC"/>
    <w:rsid w:val="4040619E"/>
    <w:rsid w:val="409D3A36"/>
    <w:rsid w:val="41155EA7"/>
    <w:rsid w:val="41445C3F"/>
    <w:rsid w:val="41565089"/>
    <w:rsid w:val="41B9400F"/>
    <w:rsid w:val="420F6489"/>
    <w:rsid w:val="42585867"/>
    <w:rsid w:val="44393971"/>
    <w:rsid w:val="446E3CA0"/>
    <w:rsid w:val="44AE4ABA"/>
    <w:rsid w:val="450029CC"/>
    <w:rsid w:val="4603465C"/>
    <w:rsid w:val="46E845BF"/>
    <w:rsid w:val="48A45BC1"/>
    <w:rsid w:val="48C30BE0"/>
    <w:rsid w:val="48DE0279"/>
    <w:rsid w:val="4978472F"/>
    <w:rsid w:val="49DD762E"/>
    <w:rsid w:val="4A361719"/>
    <w:rsid w:val="4B662CF3"/>
    <w:rsid w:val="4BEC4211"/>
    <w:rsid w:val="4C355606"/>
    <w:rsid w:val="4C58104F"/>
    <w:rsid w:val="4C742E01"/>
    <w:rsid w:val="4CBE789E"/>
    <w:rsid w:val="4D770852"/>
    <w:rsid w:val="4D7F3BA7"/>
    <w:rsid w:val="4D9969C0"/>
    <w:rsid w:val="4DFF5714"/>
    <w:rsid w:val="4EF245B6"/>
    <w:rsid w:val="4F195165"/>
    <w:rsid w:val="50476020"/>
    <w:rsid w:val="50C9093D"/>
    <w:rsid w:val="51661624"/>
    <w:rsid w:val="516C3203"/>
    <w:rsid w:val="518D3254"/>
    <w:rsid w:val="523E6E87"/>
    <w:rsid w:val="52D878D9"/>
    <w:rsid w:val="533675C2"/>
    <w:rsid w:val="533C34E8"/>
    <w:rsid w:val="53ED7A42"/>
    <w:rsid w:val="54EF7C41"/>
    <w:rsid w:val="553B6079"/>
    <w:rsid w:val="5639255A"/>
    <w:rsid w:val="56672908"/>
    <w:rsid w:val="56975624"/>
    <w:rsid w:val="56BD10CB"/>
    <w:rsid w:val="56C41A2A"/>
    <w:rsid w:val="57281F0E"/>
    <w:rsid w:val="57484718"/>
    <w:rsid w:val="57790350"/>
    <w:rsid w:val="5830167A"/>
    <w:rsid w:val="585B782C"/>
    <w:rsid w:val="5A064227"/>
    <w:rsid w:val="5AF05F04"/>
    <w:rsid w:val="5B816D81"/>
    <w:rsid w:val="5BF14098"/>
    <w:rsid w:val="5BFE193C"/>
    <w:rsid w:val="5C782D58"/>
    <w:rsid w:val="5D0134C1"/>
    <w:rsid w:val="5D2B644E"/>
    <w:rsid w:val="5DC54EC5"/>
    <w:rsid w:val="5EB145CD"/>
    <w:rsid w:val="5F9E2F05"/>
    <w:rsid w:val="5FDD088B"/>
    <w:rsid w:val="6018139A"/>
    <w:rsid w:val="60AE4572"/>
    <w:rsid w:val="61374341"/>
    <w:rsid w:val="617736C4"/>
    <w:rsid w:val="625503FA"/>
    <w:rsid w:val="633263AA"/>
    <w:rsid w:val="63937401"/>
    <w:rsid w:val="64327832"/>
    <w:rsid w:val="64CC787F"/>
    <w:rsid w:val="66616164"/>
    <w:rsid w:val="66A8115B"/>
    <w:rsid w:val="66CE4939"/>
    <w:rsid w:val="676B2A6C"/>
    <w:rsid w:val="67A5328C"/>
    <w:rsid w:val="685F7628"/>
    <w:rsid w:val="687E6F69"/>
    <w:rsid w:val="68BA0C3E"/>
    <w:rsid w:val="69E43B46"/>
    <w:rsid w:val="69E527BA"/>
    <w:rsid w:val="6A1D6B17"/>
    <w:rsid w:val="6A396DE4"/>
    <w:rsid w:val="6A5A5B03"/>
    <w:rsid w:val="6AC96049"/>
    <w:rsid w:val="6ACC7C98"/>
    <w:rsid w:val="6AD73DA1"/>
    <w:rsid w:val="6AE30D0F"/>
    <w:rsid w:val="6BAD1A11"/>
    <w:rsid w:val="6D441D47"/>
    <w:rsid w:val="6D5346F3"/>
    <w:rsid w:val="6D8F679C"/>
    <w:rsid w:val="6F9203FA"/>
    <w:rsid w:val="6FB300DB"/>
    <w:rsid w:val="6FB92452"/>
    <w:rsid w:val="701376C3"/>
    <w:rsid w:val="703E625C"/>
    <w:rsid w:val="70681EDC"/>
    <w:rsid w:val="71086382"/>
    <w:rsid w:val="710D1F1E"/>
    <w:rsid w:val="726A126A"/>
    <w:rsid w:val="72A87288"/>
    <w:rsid w:val="73823088"/>
    <w:rsid w:val="74B84A7F"/>
    <w:rsid w:val="75210524"/>
    <w:rsid w:val="75E56F0B"/>
    <w:rsid w:val="76C56435"/>
    <w:rsid w:val="771D7E12"/>
    <w:rsid w:val="79715B49"/>
    <w:rsid w:val="798C095E"/>
    <w:rsid w:val="79C83863"/>
    <w:rsid w:val="7A3A4045"/>
    <w:rsid w:val="7ADB139D"/>
    <w:rsid w:val="7B8E07C6"/>
    <w:rsid w:val="7BDE5B01"/>
    <w:rsid w:val="7C1F2D15"/>
    <w:rsid w:val="7CA339F0"/>
    <w:rsid w:val="7D1A7C3A"/>
    <w:rsid w:val="7D25321C"/>
    <w:rsid w:val="7D9C107B"/>
    <w:rsid w:val="7DC73FD2"/>
    <w:rsid w:val="7E134F1C"/>
    <w:rsid w:val="7E1F765D"/>
    <w:rsid w:val="7E4A310D"/>
    <w:rsid w:val="7E502A0E"/>
    <w:rsid w:val="7E7769B0"/>
    <w:rsid w:val="7EF54776"/>
    <w:rsid w:val="7EFD3C7F"/>
    <w:rsid w:val="7F8C3947"/>
    <w:rsid w:val="7FB5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60" w:after="0" w:line="440" w:lineRule="exact"/>
      <w:ind w:left="0" w:firstLine="0"/>
      <w:jc w:val="left"/>
      <w:outlineLvl w:val="0"/>
    </w:pPr>
    <w:rPr>
      <w:rFonts w:ascii="Times New Roman" w:hAnsi="Times New Roman" w:eastAsia="宋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0" w:after="0" w:line="440" w:lineRule="exact"/>
      <w:ind w:left="0" w:firstLine="0"/>
      <w:jc w:val="left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39"/>
    <w:pPr>
      <w:ind w:left="840" w:leftChars="4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oc 1"/>
    <w:basedOn w:val="1"/>
    <w:next w:val="1"/>
    <w:qFormat/>
    <w:uiPriority w:val="39"/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paragraph" w:styleId="9">
    <w:name w:val="Normal (Web)"/>
    <w:basedOn w:val="1"/>
    <w:qFormat/>
    <w:uiPriority w:val="0"/>
    <w:rPr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标题 2 字符"/>
    <w:basedOn w:val="12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7">
    <w:name w:val="标题 1 字符"/>
    <w:basedOn w:val="12"/>
    <w:link w:val="2"/>
    <w:qFormat/>
    <w:uiPriority w:val="0"/>
    <w:rPr>
      <w:b/>
      <w:bCs/>
      <w:kern w:val="44"/>
      <w:sz w:val="44"/>
      <w:szCs w:val="44"/>
    </w:rPr>
  </w:style>
  <w:style w:type="paragraph" w:customStyle="1" w:styleId="1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19">
    <w:name w:val="heading 3"/>
    <w:qFormat/>
    <w:uiPriority w:val="0"/>
    <w:pPr>
      <w:keepNext/>
      <w:spacing w:before="20" w:after="0" w:line="440" w:lineRule="exact"/>
      <w:ind w:left="0" w:firstLine="0"/>
      <w:jc w:val="left"/>
    </w:pPr>
    <w:rPr>
      <w:rFonts w:ascii="Times New Roman" w:hAnsi="Times New Roman" w:eastAsia="宋体" w:cs="Times New Roman"/>
      <w:b/>
      <w:sz w:val="24"/>
    </w:rPr>
  </w:style>
  <w:style w:type="paragraph" w:customStyle="1" w:styleId="20">
    <w:name w:val="TOC 1"/>
    <w:qFormat/>
    <w:uiPriority w:val="0"/>
    <w:pPr>
      <w:spacing w:before="0" w:after="0" w:line="360" w:lineRule="exact"/>
      <w:ind w:left="0" w:firstLine="0"/>
    </w:pPr>
    <w:rPr>
      <w:rFonts w:ascii="Times New Roman" w:hAnsi="Times New Roman" w:eastAsia="宋体" w:cs="Times New Roman"/>
      <w:sz w:val="21"/>
    </w:rPr>
  </w:style>
  <w:style w:type="paragraph" w:customStyle="1" w:styleId="21">
    <w:name w:val="TOC 2"/>
    <w:qFormat/>
    <w:uiPriority w:val="0"/>
    <w:pPr>
      <w:spacing w:before="0" w:after="0" w:line="360" w:lineRule="exact"/>
      <w:ind w:left="420" w:firstLine="0"/>
    </w:pPr>
    <w:rPr>
      <w:rFonts w:ascii="Times New Roman" w:hAnsi="Times New Roman" w:eastAsia="宋体" w:cs="Times New Roman"/>
      <w:sz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0703C-289D-4134-AEC5-C362D73C7E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5888</Words>
  <Characters>9339</Characters>
  <Lines>81</Lines>
  <Paragraphs>22</Paragraphs>
  <TotalTime>0</TotalTime>
  <ScaleCrop>false</ScaleCrop>
  <LinksUpToDate>false</LinksUpToDate>
  <CharactersWithSpaces>9454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2017-08-07T08:49:00Z</dcterms:created>
  <dc:creator/>
  <dc:description>以H题技术初稿为版式母版制作；红色提示均需由选手据实替换</dc:description>
  <cp:lastModifiedBy/>
  <dcterms:modified xsi:type="dcterms:W3CDTF">2026-07-29T02:17:02Z</dcterms:modified>
  <dc:subject>严格沿用2026 H题选手填写通用模板</dc:subject>
  <dc:title>车载平衡滚球运动控制系统（H题）阶段初稿</dc:title>
  <cp:revision>163</cp:revision>
</cp:coreProperties>
</file>