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  <w:jc w:val="center"/>
      </w:pPr>
      <w:r>
        <w:rPr>
          <w:rFonts w:ascii="Calibri" w:hAnsi="Calibri" w:eastAsia="黑体"/>
          <w:b/>
          <w:color w:val="173A4A"/>
          <w:sz w:val="44"/>
        </w:rPr>
        <w:t>车载平衡滚球运动控制系统（H题）</w:t>
      </w:r>
    </w:p>
    <w:p>
      <w:pPr>
        <w:spacing w:after="440"/>
        <w:jc w:val="center"/>
      </w:pPr>
      <w:r>
        <w:rPr>
          <w:rFonts w:ascii="Calibri" w:hAnsi="Calibri" w:eastAsia="黑体"/>
          <w:b/>
          <w:color w:val="245A73"/>
          <w:sz w:val="30"/>
        </w:rPr>
        <w:t>MaixCAM方案：底盘控制与机械机构阶段初稿</w:t>
      </w:r>
    </w:p>
    <w:tbl>
      <w:tblPr>
        <w:tblW w:type="dxa" w:w="88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80"/>
      </w:tblGrid>
      <w:tr>
        <w:tc>
          <w:tcPr>
            <w:tcW w:type="dxa" w:w="888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color w:val="245A73"/>
                <w:sz w:val="21"/>
              </w:rPr>
              <w:t>阶段范围：</w:t>
            </w:r>
            <w:r>
              <w:rPr>
                <w:rFonts w:ascii="Calibri" w:hAnsi="Calibri" w:eastAsia="宋体"/>
                <w:color w:val="1F2933"/>
                <w:sz w:val="21"/>
              </w:rPr>
              <w:t>本文只完成底盘循迹、球杆机械机构、位置PD到步进电机的控制链设计。MaixCAM内部的小球识别算法、图像标定结果和实测数据由视觉组后续补充。本文所有文字均按本队方案重新组织，未沿用他人的视觉与执行机构方案表述。</w:t>
            </w:r>
          </w:p>
        </w:tc>
      </w:tr>
    </w:tbl>
    <w:p>
      <w:pPr>
        <w:spacing w:after="20"/>
      </w:pPr>
    </w:p>
    <w:p>
      <w:pPr>
        <w:spacing w:before="160" w:after="140"/>
      </w:pPr>
      <w:r>
        <w:rPr>
          <w:rFonts w:ascii="Calibri" w:hAnsi="Calibri" w:eastAsia="宋体"/>
          <w:b/>
          <w:color w:val="1F2933"/>
          <w:sz w:val="21"/>
        </w:rPr>
        <w:t>摘要：</w:t>
      </w:r>
      <w:r>
        <w:rPr>
          <w:rFonts w:ascii="Calibri" w:hAnsi="Calibri" w:eastAsia="宋体"/>
          <w:color w:val="1F2933"/>
          <w:sz w:val="21"/>
        </w:rPr>
        <w:t>系统采用底盘与滚球机构相对独立、统一供电和协同调试的结构。底盘以MSPM0G3507为控制器，利用8路数字红外阵列获得黑线横向偏差，经位置PD生成目标偏航角速度，再由陀螺仪偏航PI和左右轮编码器速度PID形成差速闭环，实现循迹、分段调速、计时和终点停车。滚球机构由MaixCAM直接取得小球位置，计算目标位置误差及其变化率，位置PD输出目标球杆角度；该角度经摇杆机构标定表换算为步进电机绝对角度，并通过UART发送位置指令。机械结构采用一端固定铰接、另一端由步进电机摇臂和连杆抬升的单自由度方案，使电机旋转转化为球杆端部上下位移。本文给出当前代码对应的控制链、接口与安全约束，并将尚未测量的结构尺寸、传动标定和控制参数明确列为后续实测项。</w:t>
      </w:r>
    </w:p>
    <w:p>
      <w:pPr>
        <w:spacing w:after="280"/>
      </w:pPr>
      <w:r>
        <w:rPr>
          <w:rFonts w:ascii="Calibri" w:hAnsi="Calibri" w:eastAsia="宋体"/>
          <w:b/>
          <w:color w:val="1F2933"/>
          <w:sz w:val="21"/>
        </w:rPr>
        <w:t>关键词：</w:t>
      </w:r>
      <w:r>
        <w:rPr>
          <w:rFonts w:ascii="Calibri" w:hAnsi="Calibri" w:eastAsia="宋体"/>
          <w:color w:val="1F2933"/>
          <w:sz w:val="21"/>
        </w:rPr>
        <w:t>MaixCAM；8路红外循迹；差速底盘；位置PD；步进电机；摇杆机构</w:t>
      </w:r>
    </w:p>
    <w:p>
      <w:pPr>
        <w:pStyle w:val="Heading1"/>
      </w:pPr>
      <w:r>
        <w:t>1 系统方案与任务分工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整车由循迹底盘、球位视觉、单自由度球杆、步进电机执行机构及电源与人机交互模块组成。底盘控制器负责车辆沿黑线运行、轮速闭环、里程与计时；MaixCAM负责球位测量、滚球位置PD以及步进电机串口控制。这样可避免把高频底盘闭环依赖于视觉帧率，同时又保留MaixCAM直接驱动球杆机构的简洁链路。两部分共用启动状态和安全策略，但各自保持独立的实时任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915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1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图1  底盘与球杆执行机构的总体分工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80"/>
        <w:gridCol w:w="3500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模块</w:t>
            </w:r>
          </w:p>
        </w:tc>
        <w:tc>
          <w:tcPr>
            <w:tcW w:type="dxa" w:w="368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本阶段采用方案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主要输入/输出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循迹底盘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MSPM0G3507 + 8路数字红外 + IMU + 双编码器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黑线状态、角速度、轮速 -&gt; 左右电机PWM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球位视觉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MaixCAM直接测得小球沿杆方向的位置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输出x、有效标志和采样时刻；识别细节待视觉组补充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滚球控制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位置PD直接生成目标球杆角度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目标位置与球位 -&gt; 球杆角度命令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机械执行</w:t>
            </w:r>
          </w:p>
        </w:tc>
        <w:tc>
          <w:tcPr>
            <w:tcW w:type="dxa" w:w="3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步进电机 + 摇臂/连杆 + 单端铰接球杆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电机绝对角 -&gt; 杆端高度与球杆倾角</w:t>
            </w:r>
          </w:p>
        </w:tc>
      </w:tr>
    </w:tbl>
    <w:p>
      <w:pPr>
        <w:spacing w:after="20"/>
      </w:pPr>
    </w:p>
    <w:p>
      <w:pPr>
        <w:pStyle w:val="Heading1"/>
      </w:pPr>
      <w:r>
        <w:t>2 底盘循迹控制设计</w:t>
      </w:r>
    </w:p>
    <w:p>
      <w:pPr>
        <w:pStyle w:val="Heading2"/>
      </w:pPr>
      <w:r>
        <w:t>2.1 8路红外采集与横向偏差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8路红外传感器横向安装在车体前部，当前工程把OUT1至OUT8依次接至PA27、PA26、PA25、PA24、PB25、PB24、PB20和PA22。各通道以GPIO数字量读取，默认低电平表示检测到黑线。控制任务每5 ms读取一次原始电平，并将有效状态记为b_i（检测到黑线时b_i=1，否则为0）。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为把离散通道变为连续偏差，按从左到右给各传感器分配位置权重w_i。当前可执行代码中的权重为{-3，-2，-1，-0.1，0.1，1，2，3}，比模板中常见的等间距权重更强调中间两路的小误差区。多路同时压线时取已触发通道权重的平均值，再以3.5归一化并限幅。</w:t>
      </w:r>
    </w:p>
    <w:p>
      <w:pPr>
        <w:spacing w:before="80" w:after="140"/>
        <w:jc w:val="center"/>
      </w:pPr>
      <w:r>
        <w:rPr>
          <w:rFonts w:ascii="Cambria Math" w:hAnsi="Cambria Math" w:eastAsia="宋体"/>
          <w:color w:val="173A4A"/>
          <w:sz w:val="22"/>
        </w:rPr>
        <w:t>e_y = sat[-1,1]{ [Σ(w_i b_i) / Σb_i] / 3.5 }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当8路原始状态全同，程序保持上一帧识别结果，避免瞬时强光、脱线或全黑横线使偏差突变；若在其他组合下没有有效通道，偏差函数返回0。正式比赛前应在实际黑线宽度、安装高度和环境照度下重新核对有效电平、权重与脱线恢复方向，不能只依据注释确定参数。</w:t>
      </w:r>
    </w:p>
    <w:p>
      <w:pPr>
        <w:pStyle w:val="Heading2"/>
      </w:pPr>
      <w:r>
        <w:t>2.2 位置、偏航与轮速三级闭环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底盘控制按“黑线横向误差 -&gt; 目标偏航角速度 -&gt; 左右轮目标速度 -&gt; 电机PWM”逐级计算。最外层位置PD把归一化偏差e_y变为目标偏航角速度ω_d。比例项决定回线力度，微分项抑制高速循迹时的左右摆动；微分量经一阶低通处理，降低数字红外跳变带来的尖峰。</w:t>
      </w:r>
    </w:p>
    <w:p>
      <w:pPr>
        <w:spacing w:before="80" w:after="140"/>
        <w:jc w:val="center"/>
      </w:pPr>
      <w:r>
        <w:rPr>
          <w:rFonts w:ascii="Cambria Math" w:hAnsi="Cambria Math" w:eastAsia="宋体"/>
          <w:color w:val="173A4A"/>
          <w:sz w:val="22"/>
        </w:rPr>
        <w:t>ω_d(k) = sat{ K_p,e e_y(k) + K_d,e [e_y(k)-e_y(k-1)]/T_s }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偏航环使用IMU的Z轴角速度ω_z作为反馈。启动前完成零偏校准，运行时由PI控制器根据ω_d-ω_z产生差速量Δv，并进行积分与输出限幅。当前代码按下式合成左右轮目标速度，其中0.4为实车调试后的差速混合系数，并非由理想差速模型直接得到。</w:t>
      </w:r>
    </w:p>
    <w:p>
      <w:pPr>
        <w:spacing w:before="80" w:after="140"/>
        <w:jc w:val="center"/>
      </w:pPr>
      <w:r>
        <w:rPr>
          <w:rFonts w:ascii="Cambria Math" w:hAnsi="Cambria Math" w:eastAsia="宋体"/>
          <w:color w:val="173A4A"/>
          <w:sz w:val="22"/>
        </w:rPr>
        <w:t>Δv = K_p,ω(ω_d-ω_z) + K_i,ω∫(ω_d-ω_z)dt</w:t>
      </w:r>
    </w:p>
    <w:p>
      <w:pPr>
        <w:spacing w:before="80" w:after="140"/>
        <w:jc w:val="center"/>
      </w:pPr>
      <w:r>
        <w:rPr>
          <w:rFonts w:ascii="Cambria Math" w:hAnsi="Cambria Math" w:eastAsia="宋体"/>
          <w:color w:val="173A4A"/>
          <w:sz w:val="22"/>
        </w:rPr>
        <w:t>v_L* = v_0 + 0.4Δv，    v_R* = v_0 - 0.4Δv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左右轮分别使用编码器速度闭环。编码器每5 ms更新一次，当前工程以3726计数/m换算轮速，再用新值权重0.35的一阶IIR滤波。增量式PID根据目标轮速与实测轮速计算PWM，单次P、I、D增量和最终占空比均有限幅，避免启动或转弯时输出突变。最终PWM通过左右电机驱动接口输出。</w:t>
      </w:r>
    </w:p>
    <w:p>
      <w:pPr>
        <w:spacing w:before="80" w:after="140"/>
        <w:jc w:val="center"/>
      </w:pPr>
      <w:r>
        <w:rPr>
          <w:rFonts w:ascii="Cambria Math" w:hAnsi="Cambria Math" w:eastAsia="宋体"/>
          <w:color w:val="173A4A"/>
          <w:sz w:val="22"/>
        </w:rPr>
        <w:t>Δu(k)=K_p[e(k)-e(k-1)] + K_i e(k)T_s + K_d[e(k)-2e(k-1)+e(k-2)]/T_s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450"/>
        <w:gridCol w:w="433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控制层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当前工程初值</w:t>
            </w:r>
          </w:p>
        </w:tc>
        <w:tc>
          <w:tcPr>
            <w:tcW w:type="dxa" w:w="433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说明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循迹位置PD（K1）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Kp=57.0，Kd=2.1，|ω_d|≤500</w:t>
            </w:r>
          </w:p>
        </w:tc>
        <w:tc>
          <w:tcPr>
            <w:tcW w:type="dxa" w:w="43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快车模式现有初值，必须结合实际传感器权重复调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偏航PI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Kp=17.5，Ki=15.0，积分限幅80</w:t>
            </w:r>
          </w:p>
        </w:tc>
        <w:tc>
          <w:tcPr>
            <w:tcW w:type="dxa" w:w="43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输入为目标/实测Z轴角速度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左右轮速度PID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Kp=1.0，Ki=80.0，Kd=0</w:t>
            </w:r>
          </w:p>
        </w:tc>
        <w:tc>
          <w:tcPr>
            <w:tcW w:type="dxa" w:w="43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PWM限幅9000，单项增量限幅1000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控制周期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5 ms（200 Hz）</w:t>
            </w:r>
          </w:p>
        </w:tc>
        <w:tc>
          <w:tcPr>
            <w:tcW w:type="dxa" w:w="43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红外、IMU、编码器和三层控制在同一控制帧内更新</w:t>
            </w:r>
          </w:p>
        </w:tc>
      </w:tr>
    </w:tbl>
    <w:p>
      <w:pPr>
        <w:spacing w:after="20"/>
      </w:pPr>
    </w:p>
    <w:tbl>
      <w:tblPr>
        <w:tblW w:type="dxa" w:w="88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80"/>
      </w:tblGrid>
      <w:tr>
        <w:tc>
          <w:tcPr>
            <w:tcW w:type="dxa" w:w="8880"/>
            <w:tcMar>
              <w:top w:w="90" w:type="dxa"/>
              <w:start w:w="120" w:type="dxa"/>
              <w:bottom w:w="90" w:type="dxa"/>
              <w:end w:w="120" w:type="dxa"/>
            </w:tcMar>
            <w:shd w:fill="FFF3CD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color w:val="7A5A00"/>
                <w:sz w:val="21"/>
              </w:rPr>
              <w:t>参数性质：</w:t>
            </w:r>
            <w:r>
              <w:rPr>
                <w:rFonts w:ascii="Calibri" w:hAnsi="Calibri" w:eastAsia="宋体"/>
                <w:color w:val="1F2933"/>
                <w:sz w:val="21"/>
              </w:rPr>
              <w:t>上表是当前工程中的起始参数，不是最终比赛参数。更换车重、轮胎、红外高度或球杆机构后都必须重新记录阶跃与循迹波形。</w:t>
            </w:r>
          </w:p>
        </w:tc>
      </w:tr>
    </w:tbl>
    <w:p>
      <w:pPr>
        <w:spacing w:after="20"/>
      </w:pPr>
    </w:p>
    <w:p>
      <w:pPr>
        <w:pStyle w:val="Heading2"/>
      </w:pPr>
      <w:r>
        <w:t>2.3 发车、调速与终点停车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现有工程设置K1和K2两种发车模式。K1用于快速循迹和终点停车：启动时清零里程、使能三层闭环和横线检测；K2用于低速联调：以较低初速起步并逐步提升到巡航速度。球杆安装完成后的首次联调应从低速模式开始，确认车体加速度不会使小球冲向端部，再逐步提高车速。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终点识别使用最近20个控制帧（约100 ms）的滑动窗口。若窗口内8路中至少4路曾检测到低电平，程序认为传感器阵列扫过横向黑线，随即调用统一停车函数，清空PID历史、关闭控制使能、将目标速度置零并停止电机，同时锁存运行时间。该判据能适应小车斜着压过终点线，但必须增加起步屏蔽或里程门限，避免在起点附近和大曲率弯道误触发。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K1当前在累计里程达到2580 mm后开始按步长降低基准速度。该阈值与场地一圈长度并不等价，只能视为当前样车的阶段参数。正式方案应根据完整场地长度、编码器实测比例和制动距离重新确定“允许识别终点线”的里程窗口，并通过连续多圈测试验证停车偏差。</w:t>
      </w:r>
    </w:p>
    <w:p>
      <w:pPr>
        <w:pStyle w:val="Heading2"/>
      </w:pPr>
      <w:r>
        <w:t>2.4 底盘程序时序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3250"/>
        <w:gridCol w:w="4580"/>
      </w:tblGrid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执行顺序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函数/数据</w:t>
            </w:r>
          </w:p>
        </w:tc>
        <w:tc>
          <w:tcPr>
            <w:tcW w:type="dxa" w:w="458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作用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1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MID_IR_ReadRaw / UpdateBits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读取8路GPIO并生成黑线状态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2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MID_Line_CalcError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由位置权重计算归一化横向偏差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3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MID_Chassis_PosStep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位置PD生成目标偏航角速度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4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MID_Line_CheckEmergency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滑动窗口判断终点横线并触发停车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5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MID_Chassis_YawStep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IMU偏航PI生成左右轮差速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6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MID_Encoder_Update / SpeedStep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编码器速度PID输出左右PWM</w:t>
            </w:r>
          </w:p>
        </w:tc>
      </w:tr>
      <w:t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7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MID_Chassis_RampStep</w:t>
            </w:r>
          </w:p>
        </w:tc>
        <w:tc>
          <w:tcPr>
            <w:tcW w:type="dxa" w:w="4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分频执行发车加速或里程减速</w:t>
            </w:r>
          </w:p>
        </w:tc>
      </w:tr>
    </w:tbl>
    <w:p>
      <w:pPr>
        <w:spacing w:after="20"/>
      </w:pPr>
    </w:p>
    <w:p>
      <w:pPr>
        <w:pStyle w:val="Heading1"/>
      </w:pPr>
      <w:r>
        <w:t>3 球杆机械机构设计</w:t>
      </w:r>
    </w:p>
    <w:p>
      <w:pPr>
        <w:pStyle w:val="Heading2"/>
      </w:pPr>
      <w:r>
        <w:t>3.1 结构组成与布置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球杆沿小车纵向中心线布置，一端通过支座铰接在车体上，构成固定转动中心；另一端作为驱动端，由步进电机输出轴上的摇臂带动连杆上下运动。摇臂转动后改变连杆连接点的高度，从而抬高或降低球杆驱动端，使球杆绕固定铰点产生小角度转动。该结构只有一个受控自由度，传力路径短，便于在MaixCAM中建立“目标球杆角度—电机绝对角度”的标定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55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ker_mechanis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图2  步进电机摇杆带动球杆单端升降的结构示意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固定铰点、驱动端连接点和步进电机轴线应安装在同一纵向工作平面内，减小连杆侧向扭曲。驱动端连接件需允许小范围摆动，避免机构运动时卡死；球杆在水平位置时应处于摇臂有效行程的中部，为正、负两个方向留出相近余量。摄像头支架与球杆支座需要有独立刚度，防止步进电机动作造成视场相对球杆移动。</w:t>
      </w:r>
    </w:p>
    <w:p>
      <w:pPr>
        <w:pStyle w:val="Heading2"/>
      </w:pPr>
      <w:r>
        <w:t>3.2 运动学关系与标定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设步进电机相对水平零点的转角为φ，摇臂有效半径为r，摇臂在水平零点处的安装相位为φ_0，固定铰点到驱动端的有效距离为L。忽略连杆摆角和安装偏置时，驱动端相对升降量与球杆倾角可近似写为：</w:t>
      </w:r>
    </w:p>
    <w:p>
      <w:pPr>
        <w:spacing w:before="80" w:after="140"/>
        <w:jc w:val="center"/>
      </w:pPr>
      <w:r>
        <w:rPr>
          <w:rFonts w:ascii="Cambria Math" w:hAnsi="Cambria Math" w:eastAsia="宋体"/>
          <w:color w:val="173A4A"/>
          <w:sz w:val="22"/>
        </w:rPr>
        <w:t>h(φ) ≈ r[sin(φ+φ_0)-sinφ_0]，    θ(φ)=arctan[h(φ)/L]≈h(φ)/L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实际机构还包含连杆长度、连接孔偏置和装配间隙，θ与φ通常不是严格线性关系。因此控制程序不直接使用理论比例，而是在球杆上放置角度尺或电子水平仪，分别记录若干组“球杆实测角θ—电机绝对角φ”，再采用分段线性插值反求电机目标角。当前程序中的{-2°对应-6°，0°对应0°，+2°对应+6°}只是占位标定，必须由实物测量替换。</w:t>
      </w:r>
    </w:p>
    <w:p>
      <w:pPr>
        <w:pStyle w:val="Heading2"/>
      </w:pPr>
      <w:r>
        <w:t>3.3 强度、回差与安全限位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步进电机选型应同时校核静态保持转矩和动态加速转矩。设驱动端等效竖向载荷为F，摇臂半径为r，传动效率为η，安全系数为S，则电机所需转矩至少满足T_m ≥ SFr/η。F应包括球杆自重、钢球在最不利位置的重力分量、连杆惯性和车辆振动附加载荷。待杆长、质量、摇臂半径与电机型号确定后，再代入实测值完成报告中的数值计算。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机械端应设置硬限位，软件端同时设置球杆角度限幅、电机绝对角限幅和角度变化率限制。当前位置程序将正常平衡角限制在±2°，电机机械保护范围限制在±40°，命令死区为0.10°，角度变化率为8°/s；这些是保守初值。调试时应先拆下钢球，以低速、小角度检查正负方向、零位和限位，再装球逐步增加控制幅度。</w:t>
      </w:r>
    </w:p>
    <w:p>
      <w:pPr>
        <w:pStyle w:val="Heading1"/>
      </w:pPr>
      <w:r>
        <w:t>4 MaixCAM位置PD与步进电机驱动</w:t>
      </w:r>
    </w:p>
    <w:p>
      <w:pPr>
        <w:pStyle w:val="Heading2"/>
      </w:pPr>
      <w:r>
        <w:t>4.1 视觉模块输入边界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视觉算法由队友实现，本阶段只规定控制接口。MaixCAM每次得到有效检测后，应向控制层提供小球沿球杆方向的位置x（单位cm）、检测有效标志valid和采样时刻t_k。像素到厘米的标定、反光抑制、异常点剔除和丢帧判断由视觉模块负责；控制层不得把无效坐标或过期坐标当作当前球位。</w:t>
      </w:r>
    </w:p>
    <w:p>
      <w:pPr>
        <w:pStyle w:val="Heading2"/>
      </w:pPr>
      <w:r>
        <w:t>4.2 位置PD生成球杆角度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设目标球位为x_r，位置误差定义为e=x_r-x。位置PD直接根据当前误差与误差变化率生成目标球杆角度θ_d。由于目标位置在保持阶段不变，误差微分近似等于小球速度的相反数，因此D项为系统提供阻尼，可抑制小球越过目标点后的往复振荡。控制符号必须通过实物验证：若小球位于正方向，输出角度应使其产生朝负方向的加速度。</w:t>
      </w:r>
    </w:p>
    <w:p>
      <w:pPr>
        <w:spacing w:before="80" w:after="140"/>
        <w:jc w:val="center"/>
      </w:pPr>
      <w:r>
        <w:rPr>
          <w:rFonts w:ascii="Cambria Math" w:hAnsi="Cambria Math" w:eastAsia="宋体"/>
          <w:color w:val="173A4A"/>
          <w:sz w:val="22"/>
        </w:rPr>
        <w:t>e(k)=x_r-x(k)</w:t>
      </w:r>
    </w:p>
    <w:p>
      <w:pPr>
        <w:spacing w:before="80" w:after="140"/>
        <w:jc w:val="center"/>
      </w:pPr>
      <w:r>
        <w:rPr>
          <w:rFonts w:ascii="Cambria Math" w:hAnsi="Cambria Math" w:eastAsia="宋体"/>
          <w:color w:val="173A4A"/>
          <w:sz w:val="22"/>
        </w:rPr>
        <w:t>ė_f(k)=LPF{[e(k)-e(k-1)]/T_k}</w:t>
      </w:r>
    </w:p>
    <w:p>
      <w:pPr>
        <w:spacing w:before="80" w:after="140"/>
        <w:jc w:val="center"/>
      </w:pPr>
      <w:r>
        <w:rPr>
          <w:rFonts w:ascii="Cambria Math" w:hAnsi="Cambria Math" w:eastAsia="宋体"/>
          <w:color w:val="173A4A"/>
          <w:sz w:val="22"/>
        </w:rPr>
        <w:t>θ_d(k)=sat[-θ_max,θ_max]{ s[K_p e(k)+K_d ė_f(k)] }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其中s为由机构正方向确定的符号（+1或-1），θ_max为允许球杆角度。为避免视觉噪声频繁驱动步进电机，控制输出还应经过小误差死区、角度斜率限制和命令死区；目标位置切换时宜使用斜坡或S形轨迹，避免直接阶跃。视觉短时丢帧可保持上一条命令，超过设定时间后应清除PD历史并缓慢回到水平角。</w:t>
      </w:r>
    </w:p>
    <w:p>
      <w:pPr>
        <w:pStyle w:val="Heading2"/>
      </w:pPr>
      <w:r>
        <w:t>4.3 串口绝对位置控制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MaixCAM通过UART直接连接步进电机驱动器，当前程序采用/dev/ttyS0、115200 bit/s、电机地址0x01和校验字节0x6B。上电后先读取当前位置确认通信，再使能电机。只有在机构人工调到真实水平位置时，才允许发送一次保存零点命令；正常上电应执行回零命令并轮询当前位置，确认连续两次落在零位容差内后才进入闭环。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每个控制周期先把θ_d通过标定表换算成电机绝对角φ_d，再将角度换算为脉冲数，以绝对位置模式发送0xFD指令。当前换算采用3200脉冲/圈，电机速度初值100 r/min、加速度参数80。若通信超时、回零失败或当前位置越限，系统应立即停止发送闭环命令，执行停止/失能，并提示重新检查共地、串口和机械零点。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100"/>
        <w:gridCol w:w="388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功能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当前协议/参数</w:t>
            </w:r>
          </w:p>
        </w:tc>
        <w:tc>
          <w:tcPr>
            <w:tcW w:type="dxa" w:w="388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安全要求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通信检测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0x36读取单圈位置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收到完整帧后才认为电机在线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保存水平零点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0x93，人工水平时仅执行一次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正常运行禁止每次上电重写零点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回到已存零点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0x9A，最长等待10 s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角度容差1.5°，连续2次满足才通过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绝对位置运动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0xFD，3200脉冲/圈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先做球杆角度与电机角度双重限幅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停止/失能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0xFE / 0xF3</w:t>
            </w:r>
          </w:p>
        </w:tc>
        <w:tc>
          <w:tcPr>
            <w:tcW w:type="dxa" w:w="3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异常退出和回零失败必须执行</w:t>
            </w:r>
          </w:p>
        </w:tc>
      </w:tr>
    </w:tbl>
    <w:p>
      <w:pPr>
        <w:spacing w:after="20"/>
      </w:pPr>
    </w:p>
    <w:p>
      <w:pPr>
        <w:pStyle w:val="Heading2"/>
      </w:pPr>
      <w:r>
        <w:t>4.4 MaixCAM控制流程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723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步骤</w:t>
            </w:r>
          </w:p>
        </w:tc>
        <w:tc>
          <w:tcPr>
            <w:tcW w:type="dxa" w:w="723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处理内容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初始化</w:t>
            </w:r>
          </w:p>
        </w:tc>
        <w:tc>
          <w:tcPr>
            <w:tcW w:type="dxa" w:w="72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校验参数 -&gt; 打开UART -&gt; 读取电机位置 -&gt; 使能 -&gt; 回到已保存水平零点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接收球位</w:t>
            </w:r>
          </w:p>
        </w:tc>
        <w:tc>
          <w:tcPr>
            <w:tcW w:type="dxa" w:w="72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取得x、valid、t_k；无效或过期数据不进入PD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PD计算</w:t>
            </w:r>
          </w:p>
        </w:tc>
        <w:tc>
          <w:tcPr>
            <w:tcW w:type="dxa" w:w="72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计算e和滤波微分，得到θ_d并执行角度限幅与斜率限制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机构映射</w:t>
            </w:r>
          </w:p>
        </w:tc>
        <w:tc>
          <w:tcPr>
            <w:tcW w:type="dxa" w:w="72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根据实测标定表将θ_d插值为电机绝对角φ_d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命令输出</w:t>
            </w:r>
          </w:p>
        </w:tc>
        <w:tc>
          <w:tcPr>
            <w:tcW w:type="dxa" w:w="72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角度变化超过死区时发送绝对位置命令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故障处理</w:t>
            </w:r>
          </w:p>
        </w:tc>
        <w:tc>
          <w:tcPr>
            <w:tcW w:type="dxa" w:w="72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丢帧超时则回水平；串口/回零/越限故障则停止并失能</w:t>
            </w:r>
          </w:p>
        </w:tc>
      </w:tr>
    </w:tbl>
    <w:p>
      <w:pPr>
        <w:spacing w:after="20"/>
      </w:pPr>
    </w:p>
    <w:p>
      <w:pPr>
        <w:pStyle w:val="Heading1"/>
      </w:pPr>
      <w:r>
        <w:t>5 联调顺序与待测参数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联调应按机械零位、步进电机方向、球杆角度标定、静态位置PD、低速底盘循迹、动态滚球控制的顺序进行。每一步只改变一组参数，并保存球位、目标角、实际电机角、8路红外状态、左右轮目标/实测速度和PWM日志。上一环节未通过限位与稳定性检查前，不进入下一环节。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50"/>
        <w:gridCol w:w="3550"/>
        <w:gridCol w:w="3180"/>
      </w:tblGrid>
      <w:t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待确认项目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需要记录的量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用于修正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8路红外安装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横向位置、离地高度、黑/白电平、环境光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位置权重、有效极性与脱线策略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底盘里程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实跑1 m的左右编码器计数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当前3726计数/m的标定值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底盘速度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直线/弯道目标和实测速度、制动距离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K1/K2速度、减速里程与终点窗口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球杆机构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L、r、连杆长度、零位相位、最大安全行程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运动学、转矩和软硬限位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角度映射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至少5组θ-φ实测点，正负方向分别测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替换当前占位标定表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位置PD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Kp、Kd、控制周期、D项滤波、稳态误差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正式控制参数与到位判据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视觉接口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帧率、延迟、位置重复性、最长丢帧</w:t>
            </w:r>
          </w:p>
        </w:tc>
        <w:tc>
          <w:tcPr>
            <w:tcW w:type="dxa" w:w="3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PD周期、超时与滤波参数</w:t>
            </w:r>
          </w:p>
        </w:tc>
      </w:tr>
    </w:tbl>
    <w:p>
      <w:pPr>
        <w:spacing w:after="20"/>
      </w:pPr>
    </w:p>
    <w:p>
      <w:pPr>
        <w:pStyle w:val="Heading1"/>
      </w:pPr>
      <w:r>
        <w:t>6 代码与文字一致性核对</w:t>
      </w:r>
    </w:p>
    <w:tbl>
      <w:tblPr>
        <w:tblW w:type="dxa" w:w="88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80"/>
      </w:tblGrid>
      <w:tr>
        <w:tc>
          <w:tcPr>
            <w:tcW w:type="dxa" w:w="8880"/>
            <w:tcMar>
              <w:top w:w="90" w:type="dxa"/>
              <w:start w:w="120" w:type="dxa"/>
              <w:bottom w:w="90" w:type="dxa"/>
              <w:end w:w="120" w:type="dxa"/>
            </w:tcMar>
            <w:shd w:fill="FFF3CD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color w:val="7A5A00"/>
                <w:sz w:val="21"/>
              </w:rPr>
              <w:t>发现的待统一项：</w:t>
            </w:r>
            <w:r>
              <w:rPr>
                <w:rFonts w:ascii="Calibri" w:hAnsi="Calibri" w:eastAsia="宋体"/>
                <w:color w:val="1F2933"/>
                <w:sz w:val="21"/>
              </w:rPr>
              <w:t>这些差异不影响本阶段方案方向，但在提交报告和最终烧录前必须统一，否则报告参数会与实车程序不一致。</w:t>
            </w:r>
          </w:p>
        </w:tc>
      </w:tr>
    </w:tbl>
    <w:p>
      <w:pPr>
        <w:spacing w:after="20"/>
      </w:pP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50"/>
        <w:gridCol w:w="3650"/>
        <w:gridCol w:w="2680"/>
      </w:tblGrid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位置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当前差异</w:t>
            </w:r>
          </w:p>
        </w:tc>
        <w:tc>
          <w:tcPr>
            <w:tcW w:type="dxa" w:w="268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建议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mid_line.h 与 mid_line.c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注释写等间距-3.5至+3.5；实际数组为-3、-2、-1、-0.1、0.1、1、2、3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以实测传感器位置确定一套权重，并同步代码和报告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mid_line.c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注释多处写30帧/150 ms；实际宏为20帧，即100 ms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统一窗口说明并实测误触发率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mid_key.h 与调度器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头文件宏写50 ms；调度器实际每4个5 ms控制帧调用，即20 ms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统一速度渐变周期，避免参数理解错误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main.py 与本方案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现程序为位置外环+速度内环的串级PI；本阶段确认方案为位置PD直接输出角度</w:t>
            </w:r>
          </w:p>
        </w:tc>
        <w:tc>
          <w:tcPr>
            <w:tcW w:type="dxa" w:w="2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由视觉/控制组决定后改成同一算法，再据实更新报告</w:t>
            </w:r>
          </w:p>
        </w:tc>
      </w:tr>
    </w:tbl>
    <w:p>
      <w:pPr>
        <w:spacing w:after="20"/>
      </w:pPr>
    </w:p>
    <w:p>
      <w:pPr>
        <w:pStyle w:val="Heading1"/>
      </w:pPr>
      <w:r>
        <w:t>7 阶段结论</w:t>
      </w:r>
    </w:p>
    <w:p>
      <w:pPr>
        <w:ind w:firstLine="420"/>
      </w:pPr>
      <w:r>
        <w:rPr>
          <w:rFonts w:ascii="Calibri" w:hAnsi="Calibri" w:eastAsia="宋体"/>
          <w:color w:val="1F2933"/>
          <w:sz w:val="21"/>
        </w:rPr>
        <w:t>本阶段已经形成与本队实物方向一致的两条控制链：底盘由8路红外位置PD、IMU偏航PI和双轮编码器速度PID完成循迹；滚球机构由MaixCAM球位输入、位置PD、机构角度标定和UART步进电机绝对位置控制完成调节。机械结构采用固定铰点与摇臂连杆实现球杆单端升降。下一阶段的重点不是继续扩写视觉描述，而是测量机构尺寸和θ-φ映射、统一代码中的权重与调度参数，并在静态球杆上完成位置PD调参后再进行整车动态联调。</w:t>
      </w:r>
    </w:p>
    <w:p>
      <w:pPr>
        <w:pStyle w:val="Heading1"/>
      </w:pPr>
      <w:r>
        <w:t>附录A  本阶段对应代码入口</w:t>
      </w:r>
    </w:p>
    <w:tbl>
      <w:tblPr>
        <w:tblStyle w:val="TableGrid"/>
        <w:tblW w:type="dxa" w:w="888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50"/>
        <w:gridCol w:w="6630"/>
      </w:tblGrid>
      <w:tr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功能</w:t>
            </w:r>
          </w:p>
        </w:tc>
        <w:tc>
          <w:tcPr>
            <w:tcW w:type="dxa" w:w="6630"/>
            <w:tcMar>
              <w:top w:w="90" w:type="dxa"/>
              <w:start w:w="120" w:type="dxa"/>
              <w:bottom w:w="90" w:type="dxa"/>
              <w:end w:w="120" w:type="dxa"/>
            </w:tcMar>
            <w:shd w:fill="EAF2F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color w:val="173A4A"/>
                <w:sz w:val="18"/>
              </w:rPr>
              <w:t>文件/符号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8路红外与横线检测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Code/Middle/mid_line.c：MID_IR_ReadRaw、MID_Line_CalcError、MID_Line_CheckEmergency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底盘三级闭环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Code/Middle/mid_chassis.c：MID_Chassis_PosStep、YawStep、SpeedStep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PID实现与初值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Code/Middle/mid_pid.c：MID_PID_Pos_Calc、Yaw_Calc、Speed_Calc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5 ms任务调度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Code/App/app_scheduler.c：s_scheduler_step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发车、里程与停车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Code/Middle/mid_key.c、mid_encoder.c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步进电机串口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main.py：MotorController、pipe_angle_to_motor_angle</w:t>
            </w:r>
          </w:p>
        </w:tc>
      </w:tr>
      <w:tr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宋体"/>
                <w:color w:val="1F2933"/>
                <w:sz w:val="18"/>
              </w:rPr>
              <w:t>待改位置PD</w:t>
            </w:r>
          </w:p>
        </w:tc>
        <w:tc>
          <w:tcPr>
            <w:tcW w:type="dxa" w:w="66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宋体"/>
                <w:color w:val="1F2933"/>
                <w:sz w:val="18"/>
              </w:rPr>
              <w:t>main.py：当前CascadeController需按最终算法统一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417" w:bottom="124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B7780"/>
        <w:sz w:val="17"/>
      </w:rPr>
      <w:t xml:space="preserve">第 </w:t>
    </w:r>
    <w:fldSimple w:instr="PAGE"/>
    <w:r>
      <w:rPr>
        <w:rFonts w:ascii="Calibri" w:hAnsi="Calibri" w:eastAsia="宋体"/>
        <w:color w:val="6B77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宋体"/>
        <w:color w:val="6B7780"/>
        <w:sz w:val="17"/>
      </w:rPr>
      <w:t>H题 MaixCAM方案 · 底盘与机械机构阶段初稿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24" w:lineRule="auto"/>
      <w:jc w:val="both"/>
    </w:pPr>
    <w:rPr>
      <w:rFonts w:ascii="Calibri" w:hAnsi="Calibri" w:eastAsia="宋体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45A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45A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  <w:jc w:val="center"/>
    </w:pPr>
    <w:rPr>
      <w:rFonts w:ascii="Calibri" w:hAnsi="Calibri" w:eastAsia="宋体"/>
      <w:b w:val="0"/>
      <w:bCs/>
      <w:color w:val="52636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H题 MaixCAM方案：底盘控制与机械机构阶段初稿</dc:title>
  <dc:subject>8路红外差速底盘、位置PD与步进电机摇杆机构</dc:subject>
  <dc:creator>参赛队</dc:creator>
  <cp:keywords/>
  <dc:description>根据本队代码与机械方案独立整理；视觉算法待队友补充。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