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0617">
      <w:pPr>
        <w:spacing w:before="440" w:after="880"/>
        <w:jc w:val="center"/>
      </w:pPr>
      <w:r>
        <w:rPr>
          <w:rFonts w:ascii="Times New Roman" w:hAnsi="Times New Roman" w:eastAsia="宋体"/>
          <w:sz w:val="48"/>
        </w:rPr>
        <w:t>2026年全国大学生电子设计竞赛</w:t>
      </w:r>
    </w:p>
    <w:p w14:paraId="6120378B">
      <w:pPr>
        <w:spacing w:after="2440"/>
        <w:jc w:val="center"/>
      </w:pPr>
      <w:r>
        <w:rPr>
          <w:rFonts w:ascii="Times New Roman" w:hAnsi="Times New Roman" w:eastAsia="宋体"/>
          <w:b/>
          <w:color w:val="FF0000"/>
          <w:sz w:val="36"/>
        </w:rPr>
        <w:t>车载平衡滚球运动控制系统</w:t>
      </w:r>
      <w:r>
        <w:rPr>
          <w:rFonts w:ascii="Times New Roman" w:hAnsi="Times New Roman" w:eastAsia="宋体"/>
          <w:b/>
          <w:sz w:val="36"/>
        </w:rPr>
        <w:t>（H题）</w:t>
      </w:r>
    </w:p>
    <w:p w14:paraId="41A47259">
      <w:pPr>
        <w:spacing w:after="2100"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24000" cy="1030605"/>
            <wp:effectExtent l="0" t="0" r="0" b="5715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FA2">
      <w:pPr>
        <w:spacing w:after="360"/>
        <w:jc w:val="center"/>
      </w:pPr>
      <w:r>
        <w:rPr>
          <w:rFonts w:ascii="Times New Roman" w:hAnsi="Times New Roman" w:eastAsia="宋体"/>
          <w:b/>
          <w:color w:val="7F6000"/>
          <w:sz w:val="28"/>
        </w:rPr>
        <w:t>填写通用模板</w:t>
      </w:r>
    </w:p>
    <w:p w14:paraId="6FD7918D">
      <w:pPr>
        <w:jc w:val="center"/>
      </w:pPr>
      <w:r>
        <w:rPr>
          <w:rFonts w:ascii="Times New Roman" w:hAnsi="Times New Roman" w:eastAsia="宋体"/>
          <w:b/>
          <w:sz w:val="32"/>
        </w:rPr>
        <w:t>2026年8月</w:t>
      </w:r>
      <w:r>
        <w:rPr>
          <w:rFonts w:ascii="Times New Roman" w:hAnsi="Times New Roman" w:eastAsia="宋体"/>
          <w:b/>
          <w:color w:val="C00000"/>
          <w:sz w:val="32"/>
        </w:rPr>
        <w:t>【请填写日期】</w:t>
      </w:r>
      <w:r>
        <w:br w:type="page"/>
      </w:r>
    </w:p>
    <w:p w14:paraId="2A3B7C3C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color w:val="000000"/>
        </w:rPr>
        <w:t>摘要：</w:t>
      </w:r>
      <w:r>
        <w:rPr>
          <w:rFonts w:ascii="Times New Roman" w:hAnsi="Times New Roman" w:eastAsia="宋体"/>
          <w:b w:val="0"/>
          <w:color w:val="000000"/>
        </w:rPr>
        <w:t>本文设计车载平衡滚球运动控制系统。底盘以MSPM0G3507为主控，八路自校准红外模块通过八路独立IO并行输入，LSM6DSV16XTR提供角速度信息，AT8236驱动两台MG513电机完成差速循迹。滚球装置采用MaixCAM Pro进行钢球识别与连续追踪，并向自闭环42步进电机发送位置指令，经摇杆连杆改变摆杆倾角；另一块K230仅承担图传发送与录像链路。底盘软件已形成5 ms位置、偏航和轮速串级控制框架，视觉追踪参数、图示及全部性能数据留待联调和实测补充。本稿按官方模板形成可编辑阶段报告，不虚构测试结论。</w:t>
      </w:r>
    </w:p>
    <w:p w14:paraId="3B720C37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color w:val="000000"/>
        </w:rPr>
        <w:t>关键词：</w:t>
      </w:r>
      <w:r>
        <w:rPr>
          <w:rFonts w:ascii="Times New Roman" w:hAnsi="Times New Roman" w:eastAsia="宋体"/>
          <w:b w:val="0"/>
          <w:color w:val="000000"/>
        </w:rPr>
        <w:t>八路红外循迹；MaixCAM Pro；滚球控制；闭环步进电机；K230图传</w:t>
      </w:r>
    </w:p>
    <w:p w14:paraId="753C110D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color w:val="000000"/>
        </w:rPr>
        <w:t>阶段说明：</w:t>
      </w:r>
      <w:r>
        <w:rPr>
          <w:rFonts w:ascii="Times New Roman" w:hAnsi="Times New Roman" w:eastAsia="宋体"/>
          <w:b w:val="0"/>
          <w:color w:val="000000"/>
        </w:rPr>
        <w:t>当前处于初级联调阶段。文中程序结构来自最新版工程；视觉识别与连续追踪章节已按视觉方案形成阶段稿，图示与复测数据仍待补入。</w:t>
      </w:r>
    </w:p>
    <w:p w14:paraId="38C63CC0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 w:val="0"/>
          <w:color w:val="000000"/>
        </w:rPr>
      </w:r>
    </w:p>
    <w:p w14:paraId="51B9C2D7">
      <w:pPr>
        <w:sectPr>
          <w:headerReference r:id="rId5" w:type="default"/>
          <w:footerReference r:id="rId6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  <w:r>
        <w:rPr>
          <w:rFonts w:ascii="Times New Roman" w:hAnsi="Times New Roman" w:eastAsia="宋体"/>
          <w:b w:val="0"/>
          <w:color w:val="000000"/>
        </w:rPr>
      </w:r>
    </w:p>
    <w:p w14:paraId="0A12F80D">
      <w:pPr>
        <w:spacing w:before="200" w:after="280"/>
        <w:jc w:val="center"/>
      </w:pPr>
      <w:r>
        <w:rPr>
          <w:rFonts w:ascii="Times New Roman" w:hAnsi="Times New Roman" w:eastAsia="宋体"/>
          <w:b w:val="0"/>
          <w:color w:val="000000"/>
        </w:rPr>
        <w:t>目 录</w:t>
      </w:r>
    </w:p>
    <w:p w14:paraId="2C3D7317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一、系统方案</w:t>
        <w:tab/>
        <w:t>1</w:t>
      </w:r>
    </w:p>
    <w:p w14:paraId="1594D258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1、总体方案与机械布局</w:t>
        <w:tab/>
        <w:t>1</w:t>
      </w:r>
    </w:p>
    <w:p w14:paraId="2E768B41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2、方案选择</w:t>
        <w:tab/>
        <w:t>1</w:t>
      </w:r>
    </w:p>
    <w:p w14:paraId="5C77A423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二、底盘循迹理论与控制</w:t>
        <w:tab/>
        <w:t>2</w:t>
      </w:r>
    </w:p>
    <w:p w14:paraId="550FB5E7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1、八路IO偏差计算</w:t>
        <w:tab/>
        <w:t>2</w:t>
      </w:r>
    </w:p>
    <w:p w14:paraId="37AC07E1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2、差速模型与串级控制</w:t>
        <w:tab/>
        <w:t>2</w:t>
      </w:r>
    </w:p>
    <w:p w14:paraId="08246A88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三、滚球机构与控制</w:t>
        <w:tab/>
        <w:t>3</w:t>
      </w:r>
    </w:p>
    <w:p w14:paraId="3383373C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1、球杆模型与机械执行</w:t>
        <w:tab/>
        <w:t>3</w:t>
      </w:r>
    </w:p>
    <w:p w14:paraId="70F57E54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2、位置-速度控制与步进指令</w:t>
        <w:tab/>
        <w:t>3</w:t>
      </w:r>
    </w:p>
    <w:p w14:paraId="0A91C381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四、电路与程序设计</w:t>
        <w:tab/>
        <w:t>4</w:t>
      </w:r>
    </w:p>
    <w:p w14:paraId="14581AB4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五、视觉识别与连续追踪</w:t>
        <w:tab/>
        <w:t>5</w:t>
      </w:r>
    </w:p>
    <w:p w14:paraId="3FB9CC7C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六、测试方案与待测记录</w:t>
        <w:tab/>
        <w:t>6</w:t>
      </w:r>
    </w:p>
    <w:p w14:paraId="789CA994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七、结论与改进</w:t>
        <w:tab/>
        <w:t>7</w:t>
      </w:r>
    </w:p>
    <w:p w14:paraId="6E85017F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  <w:t>八、参考文献</w:t>
        <w:tab/>
        <w:t>7</w:t>
      </w:r>
    </w:p>
    <w:p w14:paraId="51002204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73C51E37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103698CF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2A85D281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6D2746B4">
      <w:pPr>
        <w:pStyle w:val="8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219028E5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6E2E89F0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1B6B1495">
      <w:pPr>
        <w:pStyle w:val="7"/>
        <w:tabs>
          <w:tab w:val="right" w:leader="dot" w:pos="8306"/>
        </w:tabs>
      </w:pPr>
      <w:r>
        <w:rPr>
          <w:rFonts w:ascii="Times New Roman" w:hAnsi="Times New Roman" w:eastAsia="宋体"/>
          <w:b w:val="0"/>
          <w:color w:val="000000"/>
        </w:rPr>
      </w:r>
    </w:p>
    <w:p w14:paraId="2871EFB3">
      <w:pPr>
        <w:widowControl/>
        <w:spacing w:before="0" w:after="0" w:line="360" w:lineRule="exact"/>
        <w:ind w:firstLine="0"/>
        <w:jc w:val="left"/>
      </w:pPr>
      <w:r>
        <w:rPr>
          <w:rFonts w:ascii="Times New Roman" w:hAnsi="Times New Roman" w:eastAsia="宋体"/>
          <w:b w:val="0"/>
          <w:color w:val="000000"/>
        </w:rPr>
      </w:r>
    </w:p>
    <w:p w14:paraId="0EFB5BB2">
      <w:pPr>
        <w:sectPr>
          <w:headerReference r:id="rId7" w:type="default"/>
          <w:footerReference r:id="rId8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  <w:r>
        <w:rPr>
          <w:rFonts w:ascii="Times New Roman" w:hAnsi="Times New Roman" w:eastAsia="宋体"/>
          <w:b w:val="0"/>
          <w:color w:val="000000"/>
        </w:rPr>
      </w:r>
    </w:p>
    <w:p w14:paraId="36303784">
      <w:pPr>
        <w:widowControl/>
        <w:spacing w:before="0" w:after="0" w:line="44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t>车载平衡滚球运动控制系统（H题）</w:t>
      </w:r>
    </w:p>
    <w:p w14:paraId="525585F8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t>【本科组】</w:t>
      </w:r>
    </w:p>
    <w:p w14:paraId="70FC84EC">
      <w:pPr>
        <w:pStyle w:val="2"/>
        <w:keepNext/>
      </w:pPr>
      <w:r>
        <w:rPr>
          <w:rFonts w:ascii="Times New Roman" w:hAnsi="Times New Roman" w:eastAsia="宋体"/>
          <w:b w:val="0"/>
          <w:color w:val="000000"/>
        </w:rPr>
        <w:t>一、系统方案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1、总体方案与机械布局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系统分为底盘循迹、滚球控制和图传三条链路。MSPM0G3507读取八路红外数字状态、编码器和LSM6DSV16XTR，计算左右轮目标并由AT8236驱动两台MG513；车体采用两主动轮加一万向轮。MaixCAM Pro负责钢球视觉识别与追踪，输出球位后在本机完成滚球控制并通过UART向自闭环42步进电机发送位置指令。K230作为独立图传发送端，将摆杆画面传到场外接收设备显示和录像，不参与识别与控制。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机械部分采用一端铰接的25 cm凹槽PPR摆杆，另一端由42步进电机经摇杆连杆抬升。摄像头固定在摆杆上方，视场覆盖全行程；铰点高度、连杆孔距、允许摆角和整车外廓以装配实测为准，并按题目35 cm x 25 cm及h不小于5 cm约束复核。</w:t>
      </w: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3AFC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32D114">
            <w:pPr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74920" cy="2652799"/>
                  <wp:docPr id="2" name="Picture 2" descr="车载平衡滚球系统结构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architecture_compac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652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1238B">
      <w:pPr>
        <w:keepNext/>
        <w:spacing w:before="20" w:after="20"/>
        <w:jc w:val="center"/>
      </w:pPr>
      <w:r>
        <w:rPr>
          <w:rFonts w:ascii="Times New Roman" w:hAnsi="Times New Roman" w:eastAsia="宋体"/>
          <w:b w:val="0"/>
          <w:color w:val="000000"/>
        </w:rPr>
        <w:t>图1 车载平衡滚球系统结构图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2、方案选择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巡线选用八路自校准红外模块，其板内完成黑白阈值调节，八路OUT分别接入主控的独立GPIO并同步采样。底盘采用直流减速电机和编码器，适合轮速闭环；滚球端采用自闭环步进电机，便于执行绝对位置命令并检测回零/到位状态。视觉识别与图传使用两块独立板卡，使识别控制负载和无线录像互不干扰。</w:t>
      </w:r>
    </w:p>
    <w:p w14:paraId="70FC84EC">
      <w:pPr>
        <w:pStyle w:val="2"/>
        <w:keepNext/>
        <w:pageBreakBefore/>
      </w:pPr>
      <w:r>
        <w:rPr>
          <w:rFonts w:ascii="Times New Roman" w:hAnsi="Times New Roman" w:eastAsia="宋体"/>
          <w:b w:val="0"/>
          <w:color w:val="000000"/>
        </w:rPr>
        <w:t>二、底盘循迹理论与控制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1、八路IO偏差计算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最新版底盘程序将OUT1~OUT8接至PA27、PA26、PA25、PA24、PB25、PB24、PB20、PA22，每5 ms并行读取一次。默认按低电平有效把原始电平转换为bits[8]。K1与K2模式使用两组位置权重，均按从左到右的负到正顺序排列；对所有有效通道求权重平均并归一化，得到e_line属于[-1,1]。全同电平保持上一帧，可抑制瞬时干扰。</w:t>
      </w:r>
    </w:p>
    <w:p w14:paraId="1037118A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t>e_line = [Σ(b_i w_i) / Σb_i] / w_max，b_i∈{0,1}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终点横线采用滑动窗口判断：在连续20帧（约100 ms）内，若至少4路曾检测到黑线，则置位停车标志并调用底盘停止函数。该逻辑只说明当前程序判据，窗口长度、有效电平和触发路数仍需在A点横线实测后确认。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2、差速模型与串级控制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设车体线速度为v，轮距为B，目标偏航角速度为ω，则左右轮目标速度可写为v_L=v-Bω/2、v_R=v+Bω/2。程序采用三级串联结构：位置PD把e_line转换为目标角速度；偏航环比较目标角速度与LSM6DSV16XTR的Z轴角速度，生成左右轮速度差；双轮增量式PID再将速度误差转换为AT8236的PWM输出。控制周期为5 ms，电机PWM初始化频率为10 kHz。</w:t>
      </w:r>
    </w:p>
    <w:p w14:paraId="1037118A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t>ω* = PD(e_line)，Δv = PID_yaw(ω* - ω_z)，u_L/u_R = PID_speed(v_L* - v_L, v_R* - v_R)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LSM6DSV16XTR通过SPI初始化并校验器件ID，静止采样用于估计角速度零偏。上电默认关闭控制环，按键启动时加载对应模式参数并复位历史量；急停、失线、参数切换均应清除积分并令PWM回零。当前代码参数属于调试初值，报告最终值须以实车记录替换。</w:t>
      </w:r>
    </w:p>
    <w:p w14:paraId="70FC84EC">
      <w:pPr>
        <w:pStyle w:val="2"/>
        <w:keepNext/>
        <w:pageBreakBefore/>
      </w:pPr>
      <w:r>
        <w:rPr>
          <w:rFonts w:ascii="Times New Roman" w:hAnsi="Times New Roman" w:eastAsia="宋体"/>
          <w:b w:val="0"/>
          <w:color w:val="000000"/>
        </w:rPr>
        <w:t>三、滚球机构与控制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1、球杆模型与机械执行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以摆杆中心O为x=0，沿凹槽向驱动端为正方向，摆杆小角度为θ。把钢球近似为纯滚动实心球，I=2mr^2/5，则在忽略滑动并把车体纵向加速度记为a_x时，可得x¨约等于-(5/7)(gθ+a_x)。该模型表明摆角直接改变球的加速度，车体起步、弯道和制动会作为外扰进入滚球系统。摩擦、回差和杆面不水平造成的偏差由限幅、死区和后续标定修正。</w:t>
      </w:r>
    </w:p>
    <w:p w14:paraId="1037118A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t>(m + I/r^2)x¨ = -m(g sinθ + a_x cosθ)，小角度下 x¨ ≈ -(5/7)(gθ + a_x)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自闭环42步进电机安装在驱动端，经摇臂和连杆把电机转角转换为摆杆端点位移。MaixCAM Pro通过115200 bit/s UART发送使能、回零、绝对位置和位置查询指令；正常上电应先读取位置并完成回零，再进入控制。电机角度到摆角的比例、机械零位、软限位和回差补偿均需由装配标定表确定。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2、位置-速度控制与步进指令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本节描述视觉输出之后的滚球控制，与第5节视觉追踪算法分开。视觉模块输出球位置x_k和时间戳，控制侧先进行坐标标定与速度估计。位置环根据目标位置x_r生成受限目标速度，速度环再生成目标摆角θ_d；摆角经机构映射为电机绝对位置。积分限幅、输出限幅、角度死区和丢球回水平用于降低饱和与机械冲击。</w:t>
      </w:r>
    </w:p>
    <w:p w14:paraId="1037118A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t>v_r = sat[K_px(x_r-x)+K_ixΣe_x]；θ_d = sat[K_pv(v_r-v)+K_ivΣe_v]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任务3的目标序列为O到+5 cm，再折返至-5 cm并稳定；动态任务将x_r设为O或任意指定位置。到位判据、保持时间、预测补偿和开环辅助段在最新版视觉目录中仍处于多版本调试状态，最终报告只保留实际采用的状态机和实测参数。</w:t>
      </w:r>
    </w:p>
    <w:p w14:paraId="70FC84EC">
      <w:pPr>
        <w:pStyle w:val="2"/>
        <w:keepNext/>
        <w:pageBreakBefore/>
      </w:pPr>
      <w:r>
        <w:rPr>
          <w:rFonts w:ascii="Times New Roman" w:hAnsi="Times New Roman" w:eastAsia="宋体"/>
          <w:b w:val="0"/>
          <w:color w:val="000000"/>
        </w:rPr>
        <w:t>四、电路与程序设计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1、主要硬件与接口</w:t>
      </w:r>
    </w:p>
    <w:p w14:paraId="1AD76CB3">
      <w:pPr>
        <w:keepNext/>
        <w:spacing w:before="40" w:after="20"/>
      </w:pPr>
      <w:r>
        <w:rPr>
          <w:rFonts w:ascii="Times New Roman" w:hAnsi="Times New Roman" w:eastAsia="宋体"/>
          <w:b w:val="0"/>
          <w:color w:val="000000"/>
        </w:rPr>
        <w:t>表1 主要硬件与接口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850"/>
        <w:gridCol w:w="1350"/>
        <w:gridCol w:w="2600"/>
        <w:gridCol w:w="900"/>
      </w:tblGrid>
      <w:tr w14:paraId="5B6E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C312B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17E20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型号/数量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85D53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接口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4F1E0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主要作用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BD4A4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当前说明</w:t>
            </w:r>
          </w:p>
        </w:tc>
      </w:tr>
      <w:tr w14:paraId="1FBD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23469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底盘主控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59409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MSPM0G3507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42E3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GPIO、PWM、SPI、UART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30F6C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循迹、姿态、轮速与状态机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3C0D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最新版工程</w:t>
            </w:r>
          </w:p>
        </w:tc>
      </w:tr>
      <w:tr w14:paraId="73C6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6AA62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循迹模块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2613B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8路自校准红外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E747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8路独立数字IO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DBDA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输出黑线0/1状态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665C4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独立GPIO同步采样</w:t>
            </w:r>
          </w:p>
        </w:tc>
      </w:tr>
      <w:tr w14:paraId="4B94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B59D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惯性传感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A712B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LSM6DSV16XTR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6355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SPI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C7603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Z轴角速度与偏航信息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26BD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零偏待实测</w:t>
            </w:r>
          </w:p>
        </w:tc>
      </w:tr>
      <w:tr w14:paraId="5BB5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C9B90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底盘驱动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234C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AT8236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0D397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10 kHz PWM/方向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49DE7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驱动两台MG513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ABA11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引脚按实物复核</w:t>
            </w:r>
          </w:p>
        </w:tc>
      </w:tr>
      <w:tr w14:paraId="03E2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F0A11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底盘电机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D13CF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MG513 / 2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81FE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编码器反馈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CAE1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左右轮差速运动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C7C3A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轮径/计数待测</w:t>
            </w:r>
          </w:p>
        </w:tc>
      </w:tr>
      <w:tr w14:paraId="1D13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B13D7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识别主控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8F23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MaixCAM Pro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1FD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Camera、UART 115200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9A25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钢球识别、追踪、步进指令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AF33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算法段预留</w:t>
            </w:r>
          </w:p>
        </w:tc>
      </w:tr>
      <w:tr w14:paraId="1108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1BBCD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滚球执行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5E582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自闭环42步进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D4A7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TTL串口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610F1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经摇杆连杆改变摆角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B97D1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限位/回差待测</w:t>
            </w:r>
          </w:p>
        </w:tc>
      </w:tr>
      <w:tr w14:paraId="228B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4818A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图传发送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1FA5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K230 / 1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5D5DB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摄像/无线链路待确认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298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独立实时图传与录像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54F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不参与识别</w:t>
            </w:r>
          </w:p>
        </w:tc>
      </w:tr>
    </w:tbl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2、软件结构与时序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底盘以1 ms SysTick计时，每5 ms读取八路GPIO、LSM6DSV16XTR和编码器，依次更新循迹位置、偏航及双轮速度环与PWM。串口、OLED和按键采用轮询/分片处理；K1/K2参数、启动斜坡和横线停车逻辑以最新版深层工程为准。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MaixCAM Pro运行相机、检测/追踪、坐标估计、滚球控制和步进通信；K230独立图传，不向控制链发送检测结果。启动时完成传感器自检和步进回零，异常时停止电机命令并保留录像/日志。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3、电源与抗干扰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电池分支向底盘、步进和数字系统供电并共地，电机与逻辑/视觉支路分开稳压布线，AT8236及步进驱动就近配置去耦和储能电容；峰值电流、稳压余量和图传时长待实测。</w:t>
      </w:r>
    </w:p>
    <w:p w14:paraId="70FC84EC">
      <w:pPr>
        <w:pStyle w:val="2"/>
        <w:keepNext/>
        <w:pageBreakBefore/>
      </w:pPr>
      <w:r>
        <w:rPr>
          <w:rFonts w:ascii="Times New Roman" w:hAnsi="Times New Roman" w:eastAsia="宋体"/>
          <w:b w:val="0"/>
          <w:color w:val="000000"/>
        </w:rPr>
        <w:t>五、视觉识别与连续追踪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MaixCAM Pro负责钢球图像采集和视觉识别，K230仅承担独立图传。相机画面先限定摆杆有效区域ROI，再在ROI内使用定制YOLOv5模型完成钢球候选检测，并结合候选筛选和轮廓精修得到钢球中心坐标、置信度和时间戳。方案文档记录检测帧率约30 fps、模型验证集准确率约84%，该数值仍需在最终安装姿态、光照和摆杆背景下复测。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1、连续追踪与丢失处理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连续追踪以当前检测结果和上一帧轨迹预测位置进行跨帧关联，并用EMA对中心坐标作平滑，按时间戳计算速度供后级控制使用。当出现短时遮挡或检测置信度下降时，保持有限帧的预测轨迹并标记有效状态；超过丢失阈值后进入搜索/重捕获，重新获得满足置信度条件的目标后恢复正常输出。追踪输出字段包括x、y（或标定后的一维球位）、速度、时间戳、置信度和valid标志，坐标原点及正方向与第3节控制接口统一。</w:t>
      </w: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3AFC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32D114">
            <w:pPr>
              <w:spacing w:line="360" w:lineRule="exac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【视觉追踪图示预留】</w:t>
              <w:br/>
              <w:t>建议补入：相机画面、ROI范围、YOLO候选框与跨帧轨迹示意。</w:t>
              <w:br/>
              <w:t>建议标注：钢球中心坐标、置信度、有效标志、时间戳及坐标原点。</w:t>
              <w:br/>
              <w:t>遮挡或短时丢失时的预测保持、搜索与重捕获路径可在图中一并说明。</w:t>
              <w:br/>
              <w:br/>
              <w:t>本图示位仅服务于MaixCAM Pro的识别与连续追踪，不放置视觉输出之后的位置/速度PID。</w:t>
            </w:r>
          </w:p>
        </w:tc>
      </w:tr>
    </w:tbl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2、追踪验证数据（待复测）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待补入不同球位、车体静止/运动、反光和短时遮挡工况下的检测成功率、位置重复误差、端到端延迟、丢失持续时间及重捕获时间。视觉控制方案中的延迟补偿、微分先行和状态机属于追踪输出后的控制环节，放在第3节描述，本节只保留识别、追踪和接口数据。</w:t>
      </w:r>
    </w:p>
    <w:p w14:paraId="70FC84EC">
      <w:pPr>
        <w:pStyle w:val="2"/>
        <w:keepNext/>
        <w:pageBreakBefore/>
      </w:pPr>
      <w:r>
        <w:rPr>
          <w:rFonts w:ascii="Times New Roman" w:hAnsi="Times New Roman" w:eastAsia="宋体"/>
          <w:b w:val="0"/>
          <w:color w:val="000000"/>
        </w:rPr>
        <w:t>六、测试方案与待测记录</w:t>
      </w:r>
    </w:p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1、测试原则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所有性能结论至少基于5次完整测试，失败试验也保留。循迹测试记录总时间、停车偏差和脱轨情况；滚球测试同步保存视频、球位时间序列、目标值和步进命令。位置误差按max|x-x_r|统计，并同时给出平均值；图传需验证覆盖全摆杆、连续显示、录像和回放。</w:t>
      </w:r>
    </w:p>
    <w:p w14:paraId="1AD76CB3">
      <w:pPr>
        <w:keepNext/>
        <w:spacing w:before="40" w:after="20"/>
      </w:pPr>
      <w:r>
        <w:rPr>
          <w:rFonts w:ascii="Times New Roman" w:hAnsi="Times New Roman" w:eastAsia="宋体"/>
          <w:b w:val="0"/>
          <w:color w:val="000000"/>
        </w:rPr>
        <w:t>表2 分项测试记录（当前待实测）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650"/>
        <w:gridCol w:w="1950"/>
        <w:gridCol w:w="1200"/>
        <w:gridCol w:w="1750"/>
      </w:tblGrid>
      <w:tr w14:paraId="31EE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4A52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测试项目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B01C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题目限值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8B0D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记录内容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6B5EE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当前结果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A2FDF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6"/>
              </w:rPr>
              <w:t>证据</w:t>
            </w:r>
          </w:p>
        </w:tc>
      </w:tr>
      <w:tr w14:paraId="12B0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5452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K230图传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BB5A4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稳定显示并完整录像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C7ECB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连续性/覆盖/回放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9C11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待实测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0C2CC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视频待编号</w:t>
            </w:r>
          </w:p>
        </w:tc>
      </w:tr>
      <w:tr w14:paraId="3047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4BBC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循迹一圈停车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26E99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不大于20 s；偏差不大于2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A5FB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5次时间与停车偏差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2CF30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待实测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EFA1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日志/视频</w:t>
            </w:r>
          </w:p>
        </w:tc>
      </w:tr>
      <w:tr w14:paraId="5C286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610D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静态O到正负5 cm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A985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不大于5 s；误差不大于1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C3CD1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运行时间/两端最大误差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D16AE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待实测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35EB5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球位序列</w:t>
            </w:r>
          </w:p>
        </w:tc>
      </w:tr>
      <w:tr w14:paraId="12B3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48445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A-B动态中心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3092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不大于8 s；误差不大于1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BAA4C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A-B时间/中心误差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5BB12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待实测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82FC4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同步记录</w:t>
            </w:r>
          </w:p>
        </w:tc>
      </w:tr>
      <w:tr w14:paraId="25F9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E7DA9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一圈动态中心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9AC76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不大于30 s；误差不大于1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E7A5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总时间/中心误差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AC084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待实测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A0894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同步记录</w:t>
            </w:r>
          </w:p>
        </w:tc>
      </w:tr>
      <w:tr w14:paraId="373E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8E4D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任意指定位置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2E7B7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不大于30 s；误差不大于1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80E2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目标/时间/最大误差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EF16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待实测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BAE8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同步记录</w:t>
            </w:r>
          </w:p>
        </w:tc>
      </w:tr>
    </w:tbl>
    <w:p w14:paraId="597AE72C">
      <w:pPr>
        <w:pStyle w:val="3"/>
        <w:keepNext/>
      </w:pPr>
      <w:r>
        <w:rPr>
          <w:rFonts w:ascii="Times New Roman" w:hAnsi="Times New Roman" w:eastAsia="宋体"/>
          <w:b w:val="0"/>
          <w:color w:val="000000"/>
        </w:rPr>
        <w:t>2、联调顺序与误差分析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建议依次完成八路IO方向检查、左右轮编码器符号、单轮速度环、LSM6DSV16XTR零偏、低速循迹、横线停车、步进回零和角度标定、静态滚球控制，最后进行整车动态联合测试。每次只改变一组参数，并保存对应日志。最新版底盘源码晚于现有部分构建日志，最终提交前需重新全量构建并记录0错误、0警告。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主要误差来源包括红外安装高度与横向位置、轮胎打滑和左右轮差异、IMU零偏、连杆回差、摆杆不水平、视觉标定与延迟、电机供电压降。当前阶段仅给出验证方法，不给出未测量的达标结论。</w:t>
      </w:r>
    </w:p>
    <w:p w14:paraId="70FC84EC">
      <w:pPr>
        <w:pStyle w:val="2"/>
        <w:keepNext/>
        <w:pageBreakBefore/>
      </w:pPr>
      <w:r>
        <w:rPr>
          <w:rFonts w:ascii="Times New Roman" w:hAnsi="Times New Roman" w:eastAsia="宋体"/>
          <w:b w:val="0"/>
          <w:color w:val="000000"/>
        </w:rPr>
        <w:t>七、结论与改进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color w:val="000000"/>
        </w:rPr>
        <w:t>本阶段已确定</w:t>
      </w:r>
      <w:r>
        <w:rPr>
          <w:rFonts w:ascii="Times New Roman" w:hAnsi="Times New Roman" w:eastAsia="宋体"/>
          <w:b w:val="0"/>
          <w:color w:val="000000"/>
        </w:rPr>
        <w:t>以MSPM0G3507、八路独立IO红外、LSM6DSV16XTR、AT8236和两台MG513构成底盘，以MaixCAM Pro、自闭环42步进电机和摇杆连杆构成滚球闭环，并使用另一块K230完成独立图传。底盘最新版程序已具备5 ms串级控制、K1/K2模式、启动斜坡和横线停车框架；滚球端具备步进电机回零、绝对位置命令和控制程序备份。视觉识别与连续追踪方案已补入，最终版本固定、整车联合调参和表2数据仍待完成，因此本文不对任务2至任务6作达标判定。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下一步首先固定视觉追踪版本及输出协议，完成像素-厘米、步进角-摆角和左右轮速度标定；随后按由内到外的顺序闭合轮速、偏航、循迹和滚球环路；最后在K230持续图传录像条件下完成5次以上整车测试，并用原始数据替换摘要、结论和测试表中的“待实测”。</w:t>
      </w:r>
    </w:p>
    <w:p w14:paraId="70FC84EC">
      <w:pPr>
        <w:pStyle w:val="2"/>
        <w:keepNext/>
      </w:pPr>
      <w:r>
        <w:rPr>
          <w:rFonts w:ascii="Times New Roman" w:hAnsi="Times New Roman" w:eastAsia="宋体"/>
          <w:b w:val="0"/>
          <w:color w:val="000000"/>
        </w:rPr>
        <w:t>八、参考文献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[1] 2026年全国大学生电子设计竞赛组委会. 车载平衡滚球运动控制系统（H题）[Z]. 2026.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[2] Texas Instruments. MSPM0G3507 Mixed-Signal Microcontrollers Data Sheet[EB/OL].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[3] STMicroelectronics. LSM6DSV16X 6-axis IMU Data Sheet[EB/OL].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[4] AT8236双通道直流电机驱动芯片数据手册[Z].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[5] Sipeed. MaixCAM Pro Documentation[EB/OL].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[6] Canaan. K230 Technical Documentation[EB/OL].</w:t>
      </w:r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 w:val="0"/>
          <w:color w:val="000000"/>
        </w:rPr>
        <w:t>注：最终提交时应补齐实际使用数据手册的版本、发布日期或访问日期，并删除未在正文引用的条目。</w:t>
      </w:r>
    </w:p>
    <w:sectPr>
      <w:headerReference r:id="rId9" w:type="default"/>
      <w:footerReference r:id="rId10" w:type="default"/>
      <w:pgSz w:w="11906" w:h="16838"/>
      <w:pgMar w:top="1871" w:right="1800" w:bottom="1440" w:left="1800" w:header="851" w:footer="992" w:gutter="0"/>
      <w:pgNumType w:fmt="decimal" w:start="1"/>
      <w:cols w:space="0" w:num="1"/>
      <w:docGrid w:type="lines" w:linePitch="31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46F4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4BCD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3B829">
    <w:pPr>
      <w:spacing w:before="0" w:after="0"/>
      <w:jc w:val="right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B6A3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DE52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215F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627CD"/>
    <w:rsid w:val="00181CA8"/>
    <w:rsid w:val="001C2617"/>
    <w:rsid w:val="002257C3"/>
    <w:rsid w:val="00255E12"/>
    <w:rsid w:val="002703A7"/>
    <w:rsid w:val="002929E7"/>
    <w:rsid w:val="002973B4"/>
    <w:rsid w:val="002A34D6"/>
    <w:rsid w:val="00311C74"/>
    <w:rsid w:val="00314F0F"/>
    <w:rsid w:val="003352BE"/>
    <w:rsid w:val="003566D1"/>
    <w:rsid w:val="0037662A"/>
    <w:rsid w:val="00381BD0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473BB"/>
    <w:rsid w:val="00563129"/>
    <w:rsid w:val="005709C3"/>
    <w:rsid w:val="00574871"/>
    <w:rsid w:val="00584F33"/>
    <w:rsid w:val="0059267C"/>
    <w:rsid w:val="005D7EFA"/>
    <w:rsid w:val="005E6F0D"/>
    <w:rsid w:val="00666322"/>
    <w:rsid w:val="00675D33"/>
    <w:rsid w:val="006C2F20"/>
    <w:rsid w:val="007541A8"/>
    <w:rsid w:val="007618D0"/>
    <w:rsid w:val="00764373"/>
    <w:rsid w:val="00767A71"/>
    <w:rsid w:val="007733F2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46FCC"/>
    <w:rsid w:val="00D7067E"/>
    <w:rsid w:val="00D71CCA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5177D6"/>
    <w:rsid w:val="06825098"/>
    <w:rsid w:val="06B0346E"/>
    <w:rsid w:val="06D1248D"/>
    <w:rsid w:val="07114FC0"/>
    <w:rsid w:val="07540525"/>
    <w:rsid w:val="07571D14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DD33C7"/>
    <w:rsid w:val="1DFA1DBC"/>
    <w:rsid w:val="1E0F1018"/>
    <w:rsid w:val="1E707ECB"/>
    <w:rsid w:val="1FB04D07"/>
    <w:rsid w:val="206465C4"/>
    <w:rsid w:val="21E16D36"/>
    <w:rsid w:val="22BA1468"/>
    <w:rsid w:val="235B7F52"/>
    <w:rsid w:val="246F1DB3"/>
    <w:rsid w:val="259E2718"/>
    <w:rsid w:val="263B7B93"/>
    <w:rsid w:val="2674125F"/>
    <w:rsid w:val="27677EB1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40619E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60" w:after="0" w:line="440" w:lineRule="exact"/>
      <w:ind w:left="0" w:firstLine="0"/>
      <w:jc w:val="left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0" w:after="0" w:line="440" w:lineRule="exact"/>
      <w:ind w:left="0" w:firstLine="0"/>
      <w:jc w:val="lef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1 字符"/>
    <w:basedOn w:val="12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9">
    <w:name w:val="heading 3"/>
    <w:qFormat/>
    <w:uiPriority w:val="0"/>
    <w:pPr>
      <w:keepNext/>
      <w:spacing w:before="20" w:after="0" w:line="440" w:lineRule="exact"/>
      <w:ind w:left="0" w:firstLine="0"/>
      <w:jc w:val="left"/>
    </w:pPr>
    <w:rPr>
      <w:rFonts w:ascii="Times New Roman" w:hAnsi="Times New Roman" w:eastAsia="宋体" w:cs="Times New Roman"/>
      <w:b/>
      <w:sz w:val="24"/>
    </w:rPr>
  </w:style>
  <w:style w:type="paragraph" w:customStyle="1" w:styleId="20">
    <w:name w:val="TOC 1"/>
    <w:qFormat/>
    <w:uiPriority w:val="0"/>
    <w:pPr>
      <w:spacing w:before="0" w:after="0" w:line="360" w:lineRule="exact"/>
      <w:ind w:left="0" w:firstLine="0"/>
    </w:pPr>
    <w:rPr>
      <w:rFonts w:ascii="Times New Roman" w:hAnsi="Times New Roman" w:eastAsia="宋体" w:cs="Times New Roman"/>
      <w:sz w:val="21"/>
    </w:rPr>
  </w:style>
  <w:style w:type="paragraph" w:customStyle="1" w:styleId="21">
    <w:name w:val="TOC 2"/>
    <w:qFormat/>
    <w:uiPriority w:val="0"/>
    <w:pPr>
      <w:spacing w:before="0" w:after="0" w:line="360" w:lineRule="exact"/>
      <w:ind w:left="420" w:firstLine="0"/>
    </w:pPr>
    <w:rPr>
      <w:rFonts w:ascii="Times New Roman" w:hAnsi="Times New Roman" w:eastAsia="宋体" w:cs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5888</Words>
  <Characters>9339</Characters>
  <Lines>81</Lines>
  <Paragraphs>22</Paragraphs>
  <TotalTime>0</TotalTime>
  <ScaleCrop>false</ScaleCrop>
  <LinksUpToDate>false</LinksUpToDate>
  <CharactersWithSpaces>9454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2017-08-07T08:49:00Z</dcterms:created>
  <dc:creator/>
  <dc:description>以H题技术初稿为版式母版制作；红色提示均需由选手据实替换</dc:description>
  <cp:lastModifiedBy/>
  <dcterms:modified xsi:type="dcterms:W3CDTF">2026-07-29T02:17:02Z</dcterms:modified>
  <dc:subject>MaixCAM Pro识别、K230独立图传、八路IO循迹</dc:subject>
  <dc:title>车载平衡滚球运动控制系统（H题）阶段模板</dc:title>
  <cp:revision>163</cp:revision>
</cp:coreProperties>
</file>