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AF4" w:rsidRPr="00C41AF4" w:rsidRDefault="00C41AF4" w:rsidP="00C41AF4">
      <w:pPr>
        <w:rPr>
          <w:rFonts w:ascii="Times New Roman" w:hAnsi="Times New Roman" w:cs="Times New Roman"/>
          <w:b/>
          <w:sz w:val="28"/>
        </w:rPr>
      </w:pPr>
      <w:r>
        <w:rPr>
          <w:rFonts w:ascii="Times New Roman" w:hAnsi="Times New Roman" w:cs="Times New Roman"/>
          <w:b/>
        </w:rPr>
        <w:t xml:space="preserve">                                            </w:t>
      </w:r>
      <w:r w:rsidRPr="00C41AF4">
        <w:rPr>
          <w:rFonts w:ascii="Times New Roman" w:hAnsi="Times New Roman" w:cs="Times New Roman"/>
          <w:b/>
          <w:sz w:val="28"/>
        </w:rPr>
        <w:t xml:space="preserve">Accessibility Observatory Literature </w:t>
      </w:r>
    </w:p>
    <w:p w:rsidR="00DB16FF" w:rsidRPr="000A6A9C" w:rsidRDefault="00C9783E" w:rsidP="00B7639C">
      <w:pPr>
        <w:outlineLvl w:val="0"/>
        <w:rPr>
          <w:rFonts w:ascii="Times New Roman" w:hAnsi="Times New Roman" w:cs="Times New Roman"/>
          <w:b/>
        </w:rPr>
      </w:pPr>
      <w:r w:rsidRPr="000A6A9C">
        <w:rPr>
          <w:rFonts w:ascii="Times New Roman" w:hAnsi="Times New Roman" w:cs="Times New Roman"/>
          <w:b/>
        </w:rPr>
        <w:t>Overview</w:t>
      </w:r>
    </w:p>
    <w:p w:rsidR="0096799E" w:rsidRPr="000A6A9C" w:rsidRDefault="0096799E" w:rsidP="00C9783E">
      <w:pPr>
        <w:rPr>
          <w:rFonts w:ascii="Times New Roman" w:hAnsi="Times New Roman" w:cs="Times New Roman"/>
          <w:color w:val="000000"/>
          <w:shd w:val="clear" w:color="auto" w:fill="FFFFFF"/>
        </w:rPr>
      </w:pPr>
      <w:r w:rsidRPr="000A6A9C">
        <w:rPr>
          <w:rFonts w:ascii="Times New Roman" w:hAnsi="Times New Roman" w:cs="Times New Roman"/>
          <w:color w:val="000000"/>
          <w:shd w:val="clear" w:color="auto" w:fill="FFFFFF"/>
        </w:rPr>
        <w:t>The Accessibility Observatory at the University of Minnesota is focused on the research and application of accessibility-based transportation system evaluation.</w:t>
      </w:r>
      <w:r w:rsidRPr="000A6A9C">
        <w:rPr>
          <w:rFonts w:ascii="Times New Roman" w:hAnsi="Times New Roman" w:cs="Times New Roman"/>
          <w:shd w:val="clear" w:color="auto" w:fill="FFFFFF"/>
        </w:rPr>
        <w:t> </w:t>
      </w:r>
      <w:r w:rsidRPr="000A6A9C">
        <w:rPr>
          <w:rFonts w:ascii="Times New Roman" w:hAnsi="Times New Roman" w:cs="Times New Roman"/>
          <w:color w:val="000000"/>
          <w:shd w:val="clear" w:color="auto" w:fill="FFFFFF"/>
        </w:rPr>
        <w:t>The Accessibility Observatory builds on earlier work conducted at the University of Minnesota, including the</w:t>
      </w:r>
      <w:r w:rsidRPr="000A6A9C">
        <w:rPr>
          <w:rFonts w:ascii="Times New Roman" w:hAnsi="Times New Roman" w:cs="Times New Roman"/>
          <w:shd w:val="clear" w:color="auto" w:fill="FFFFFF"/>
        </w:rPr>
        <w:t> </w:t>
      </w:r>
      <w:hyperlink r:id="rId5" w:history="1">
        <w:r w:rsidRPr="00855401">
          <w:rPr>
            <w:rFonts w:ascii="Times New Roman" w:hAnsi="Times New Roman" w:cs="Times New Roman"/>
            <w:i/>
            <w:color w:val="000000"/>
            <w:shd w:val="clear" w:color="auto" w:fill="FFFFFF"/>
          </w:rPr>
          <w:t xml:space="preserve">Access to Destinations </w:t>
        </w:r>
        <w:r w:rsidRPr="000A6A9C">
          <w:rPr>
            <w:rFonts w:ascii="Times New Roman" w:hAnsi="Times New Roman" w:cs="Times New Roman"/>
            <w:color w:val="000000"/>
            <w:shd w:val="clear" w:color="auto" w:fill="FFFFFF"/>
          </w:rPr>
          <w:t>study</w:t>
        </w:r>
      </w:hyperlink>
      <w:r w:rsidRPr="000A6A9C">
        <w:rPr>
          <w:rFonts w:ascii="Times New Roman" w:hAnsi="Times New Roman" w:cs="Times New Roman"/>
          <w:shd w:val="clear" w:color="auto" w:fill="FFFFFF"/>
        </w:rPr>
        <w:t> </w:t>
      </w:r>
      <w:r w:rsidRPr="000A6A9C">
        <w:rPr>
          <w:rFonts w:ascii="Times New Roman" w:hAnsi="Times New Roman" w:cs="Times New Roman"/>
          <w:color w:val="000000"/>
          <w:shd w:val="clear" w:color="auto" w:fill="FFFFFF"/>
        </w:rPr>
        <w:t>and the first</w:t>
      </w:r>
      <w:r w:rsidRPr="000A6A9C">
        <w:rPr>
          <w:rFonts w:ascii="Times New Roman" w:hAnsi="Times New Roman" w:cs="Times New Roman"/>
          <w:shd w:val="clear" w:color="auto" w:fill="FFFFFF"/>
        </w:rPr>
        <w:t> </w:t>
      </w:r>
      <w:hyperlink r:id="rId6" w:history="1">
        <w:r w:rsidRPr="000A6A9C">
          <w:rPr>
            <w:rFonts w:ascii="Times New Roman" w:hAnsi="Times New Roman" w:cs="Times New Roman"/>
            <w:i/>
            <w:iCs/>
            <w:color w:val="000000"/>
            <w:shd w:val="clear" w:color="auto" w:fill="FFFFFF"/>
          </w:rPr>
          <w:t xml:space="preserve">Access </w:t>
        </w:r>
        <w:proofErr w:type="gramStart"/>
        <w:r w:rsidRPr="000A6A9C">
          <w:rPr>
            <w:rFonts w:ascii="Times New Roman" w:hAnsi="Times New Roman" w:cs="Times New Roman"/>
            <w:i/>
            <w:iCs/>
            <w:color w:val="000000"/>
            <w:shd w:val="clear" w:color="auto" w:fill="FFFFFF"/>
          </w:rPr>
          <w:t>Across</w:t>
        </w:r>
        <w:proofErr w:type="gramEnd"/>
        <w:r w:rsidRPr="000A6A9C">
          <w:rPr>
            <w:rFonts w:ascii="Times New Roman" w:hAnsi="Times New Roman" w:cs="Times New Roman"/>
            <w:i/>
            <w:iCs/>
            <w:color w:val="000000"/>
            <w:shd w:val="clear" w:color="auto" w:fill="FFFFFF"/>
          </w:rPr>
          <w:t xml:space="preserve"> America</w:t>
        </w:r>
      </w:hyperlink>
      <w:r w:rsidRPr="000A6A9C">
        <w:rPr>
          <w:rFonts w:ascii="Times New Roman" w:hAnsi="Times New Roman" w:cs="Times New Roman"/>
          <w:shd w:val="clear" w:color="auto" w:fill="FFFFFF"/>
        </w:rPr>
        <w:t> </w:t>
      </w:r>
      <w:r w:rsidRPr="000A6A9C">
        <w:rPr>
          <w:rFonts w:ascii="Times New Roman" w:hAnsi="Times New Roman" w:cs="Times New Roman"/>
          <w:color w:val="000000"/>
          <w:shd w:val="clear" w:color="auto" w:fill="FFFFFF"/>
        </w:rPr>
        <w:t>series report.</w:t>
      </w:r>
    </w:p>
    <w:p w:rsidR="00EF4193" w:rsidRPr="000A6A9C" w:rsidRDefault="00EF4193" w:rsidP="00C9783E">
      <w:pPr>
        <w:rPr>
          <w:rFonts w:ascii="Times New Roman" w:hAnsi="Times New Roman" w:cs="Times New Roman"/>
          <w:color w:val="000000"/>
          <w:shd w:val="clear" w:color="auto" w:fill="FFFFFF"/>
        </w:rPr>
      </w:pPr>
      <w:r w:rsidRPr="000A6A9C">
        <w:rPr>
          <w:rFonts w:ascii="Times New Roman" w:hAnsi="Times New Roman" w:cs="Times New Roman"/>
          <w:color w:val="000000"/>
          <w:shd w:val="clear" w:color="auto" w:fill="FFFFFF"/>
        </w:rPr>
        <w:t xml:space="preserve">The Access to Destinations </w:t>
      </w:r>
      <w:r w:rsidRPr="000A6A9C">
        <w:rPr>
          <w:rFonts w:ascii="Times New Roman" w:hAnsi="Times New Roman" w:cs="Times New Roman"/>
          <w:color w:val="000000"/>
          <w:shd w:val="clear" w:color="auto" w:fill="FFFFFF"/>
        </w:rPr>
        <w:fldChar w:fldCharType="begin"/>
      </w:r>
      <w:r w:rsidR="00B7639C" w:rsidRPr="000A6A9C">
        <w:rPr>
          <w:rFonts w:ascii="Times New Roman" w:hAnsi="Times New Roman" w:cs="Times New Roman"/>
          <w:color w:val="000000"/>
          <w:shd w:val="clear" w:color="auto" w:fill="FFFFFF"/>
        </w:rPr>
        <w:instrText xml:space="preserve"> ADDIN ZOTERO_ITEM CSL_CITATION {"citationID":"e1aFReEV","properties":{"formattedCitation":"(A. Owen and Levinson 2012)","plainCitation":"(A. Owen and Levinson 2012)"},"citationItems":[{"id":143,"uris":["http://zotero.org/users/1646385/items/JM3TDXIF"],"uri":["http://zotero.org/users/1646385/items/JM3TDXIF"],"itemData":{"id":143,"type":"report","title":"Annual Accessibility Measure for the Twin Cities Metropolitan Area","publisher":"Technical Report 2012-34, Minnesota Department of Transportation","source":"Google Scholar","author":[{"family":"Owen","given":"A."},{"family":"Levinson","given":"D."}],"issued":{"date-parts":[["2012"]]}}}],"schema":"https://github.com/citation-style-language/schema/raw/master/csl-citation.json"} </w:instrText>
      </w:r>
      <w:r w:rsidRPr="000A6A9C">
        <w:rPr>
          <w:rFonts w:ascii="Times New Roman" w:hAnsi="Times New Roman" w:cs="Times New Roman"/>
          <w:color w:val="000000"/>
          <w:shd w:val="clear" w:color="auto" w:fill="FFFFFF"/>
        </w:rPr>
        <w:fldChar w:fldCharType="separate"/>
      </w:r>
      <w:r w:rsidR="006A1BAF" w:rsidRPr="000A6A9C">
        <w:rPr>
          <w:rFonts w:ascii="Times New Roman" w:hAnsi="Times New Roman" w:cs="Times New Roman"/>
        </w:rPr>
        <w:t>(</w:t>
      </w:r>
      <w:r w:rsidR="00B7639C" w:rsidRPr="000A6A9C">
        <w:rPr>
          <w:rFonts w:ascii="Times New Roman" w:hAnsi="Times New Roman" w:cs="Times New Roman"/>
        </w:rPr>
        <w:t>Owen and Levinson 2012)</w:t>
      </w:r>
      <w:r w:rsidRPr="000A6A9C">
        <w:rPr>
          <w:rFonts w:ascii="Times New Roman" w:hAnsi="Times New Roman" w:cs="Times New Roman"/>
          <w:color w:val="000000"/>
          <w:shd w:val="clear" w:color="auto" w:fill="FFFFFF"/>
        </w:rPr>
        <w:fldChar w:fldCharType="end"/>
      </w:r>
      <w:r w:rsidRPr="000A6A9C">
        <w:rPr>
          <w:rFonts w:ascii="Times New Roman" w:hAnsi="Times New Roman" w:cs="Times New Roman"/>
          <w:color w:val="000000"/>
          <w:shd w:val="clear" w:color="auto" w:fill="FFFFFF"/>
        </w:rPr>
        <w:t xml:space="preserve"> study laid the groundwork for accessibility evaluation at the University of Minnesota.</w:t>
      </w:r>
      <w:r w:rsidRPr="000A6A9C">
        <w:rPr>
          <w:rFonts w:ascii="Times New Roman" w:hAnsi="Times New Roman" w:cs="Times New Roman"/>
          <w:shd w:val="clear" w:color="auto" w:fill="FFFFFF"/>
        </w:rPr>
        <w:t> </w:t>
      </w:r>
      <w:r w:rsidRPr="000A6A9C">
        <w:rPr>
          <w:rFonts w:ascii="Times New Roman" w:hAnsi="Times New Roman" w:cs="Times New Roman"/>
          <w:color w:val="000000"/>
          <w:shd w:val="clear" w:color="auto" w:fill="FFFFFF"/>
        </w:rPr>
        <w:t>The Observatory uses the methods and tools developed by this project as a starting point for an integrated, multi-modal accessibility evaluation system that can be applied nationwide.</w:t>
      </w:r>
    </w:p>
    <w:p w:rsidR="000A13A2" w:rsidRPr="000A6A9C" w:rsidRDefault="00B7639C" w:rsidP="006A1BAF">
      <w:pPr>
        <w:autoSpaceDE w:val="0"/>
        <w:autoSpaceDN w:val="0"/>
        <w:adjustRightInd w:val="0"/>
        <w:spacing w:after="0" w:line="240" w:lineRule="auto"/>
        <w:rPr>
          <w:rFonts w:ascii="Times New Roman" w:hAnsi="Times New Roman" w:cs="Times New Roman"/>
          <w:color w:val="000000"/>
          <w:shd w:val="clear" w:color="auto" w:fill="FFFFFF"/>
        </w:rPr>
      </w:pPr>
      <w:r w:rsidRPr="000A6A9C">
        <w:rPr>
          <w:rFonts w:ascii="Times New Roman" w:hAnsi="Times New Roman" w:cs="Times New Roman"/>
          <w:color w:val="000000"/>
          <w:shd w:val="clear" w:color="auto" w:fill="FFFFFF"/>
        </w:rPr>
        <w:t xml:space="preserve">The </w:t>
      </w:r>
      <w:r w:rsidRPr="008B03A6">
        <w:rPr>
          <w:rFonts w:ascii="Times New Roman" w:hAnsi="Times New Roman" w:cs="Times New Roman"/>
          <w:i/>
          <w:color w:val="000000"/>
          <w:shd w:val="clear" w:color="auto" w:fill="FFFFFF"/>
        </w:rPr>
        <w:t xml:space="preserve">Access </w:t>
      </w:r>
      <w:proofErr w:type="gramStart"/>
      <w:r w:rsidRPr="008B03A6">
        <w:rPr>
          <w:rFonts w:ascii="Times New Roman" w:hAnsi="Times New Roman" w:cs="Times New Roman"/>
          <w:i/>
          <w:color w:val="000000"/>
          <w:shd w:val="clear" w:color="auto" w:fill="FFFFFF"/>
        </w:rPr>
        <w:t>Across</w:t>
      </w:r>
      <w:proofErr w:type="gramEnd"/>
      <w:r w:rsidRPr="008B03A6">
        <w:rPr>
          <w:rFonts w:ascii="Times New Roman" w:hAnsi="Times New Roman" w:cs="Times New Roman"/>
          <w:i/>
          <w:color w:val="000000"/>
          <w:shd w:val="clear" w:color="auto" w:fill="FFFFFF"/>
        </w:rPr>
        <w:t xml:space="preserve"> America</w:t>
      </w:r>
      <w:r w:rsidRPr="000A6A9C">
        <w:rPr>
          <w:rFonts w:ascii="Times New Roman" w:hAnsi="Times New Roman" w:cs="Times New Roman"/>
          <w:color w:val="000000"/>
          <w:shd w:val="clear" w:color="auto" w:fill="FFFFFF"/>
        </w:rPr>
        <w:t xml:space="preserve"> series measures accessibility to jobs via various modes of transportation in major metropolitan areas across the United States. Latest release reports are Access Across America: Transit 2014 </w:t>
      </w:r>
      <w:r w:rsidRPr="000A6A9C">
        <w:rPr>
          <w:rFonts w:ascii="Times New Roman" w:hAnsi="Times New Roman" w:cs="Times New Roman"/>
          <w:color w:val="000000"/>
          <w:shd w:val="clear" w:color="auto" w:fill="FFFFFF"/>
        </w:rPr>
        <w:fldChar w:fldCharType="begin"/>
      </w:r>
      <w:r w:rsidRPr="000A6A9C">
        <w:rPr>
          <w:rFonts w:ascii="Times New Roman" w:hAnsi="Times New Roman" w:cs="Times New Roman"/>
          <w:color w:val="000000"/>
          <w:shd w:val="clear" w:color="auto" w:fill="FFFFFF"/>
        </w:rPr>
        <w:instrText xml:space="preserve"> ADDIN ZOTERO_ITEM CSL_CITATION {"citationID":"Yqk5a6Z7","properties":{"formattedCitation":"(Andrew Owen and Levinson 2014)","plainCitation":"(Andrew Owen and Levinson 2014)"},"citationItems":[{"id":145,"uris":["http://zotero.org/users/1646385/items/TE5C8GE5"],"uri":["http://zotero.org/users/1646385/items/TE5C8GE5"],"itemData":{"id":145,"type":"article-journal","title":"Access Across America: Transit 2014","container-title":"University of","source":"Google Scholar","URL":"http://miami.ohiosierraclub.org/wp-content/uploads/2014/10/CTS14-11.pdf","shortTitle":"Access Across America","author":[{"family":"Owen","given":"Andrew"},{"family":"Levinson","given":"David"}],"issued":{"date-parts":[["2014"]]},"accessed":{"date-parts":[["2015",2,8]]}}}],"schema":"https://github.com/citation-style-language/schema/raw/master/csl-citation.json"} </w:instrText>
      </w:r>
      <w:r w:rsidRPr="000A6A9C">
        <w:rPr>
          <w:rFonts w:ascii="Times New Roman" w:hAnsi="Times New Roman" w:cs="Times New Roman"/>
          <w:color w:val="000000"/>
          <w:shd w:val="clear" w:color="auto" w:fill="FFFFFF"/>
        </w:rPr>
        <w:fldChar w:fldCharType="separate"/>
      </w:r>
      <w:r w:rsidR="006A1BAF" w:rsidRPr="000A6A9C">
        <w:rPr>
          <w:rFonts w:ascii="Times New Roman" w:hAnsi="Times New Roman" w:cs="Times New Roman"/>
          <w:color w:val="000000"/>
          <w:shd w:val="clear" w:color="auto" w:fill="FFFFFF"/>
        </w:rPr>
        <w:t>(</w:t>
      </w:r>
      <w:r w:rsidRPr="000A6A9C">
        <w:rPr>
          <w:rFonts w:ascii="Times New Roman" w:hAnsi="Times New Roman" w:cs="Times New Roman"/>
          <w:color w:val="000000"/>
          <w:shd w:val="clear" w:color="auto" w:fill="FFFFFF"/>
        </w:rPr>
        <w:t>Owen and Levinson 2014)</w:t>
      </w:r>
      <w:r w:rsidRPr="000A6A9C">
        <w:rPr>
          <w:rFonts w:ascii="Times New Roman" w:hAnsi="Times New Roman" w:cs="Times New Roman"/>
          <w:color w:val="000000"/>
          <w:shd w:val="clear" w:color="auto" w:fill="FFFFFF"/>
        </w:rPr>
        <w:fldChar w:fldCharType="end"/>
      </w:r>
      <w:r w:rsidRPr="000A6A9C">
        <w:rPr>
          <w:rFonts w:ascii="Times New Roman" w:hAnsi="Times New Roman" w:cs="Times New Roman"/>
          <w:color w:val="000000"/>
          <w:shd w:val="clear" w:color="auto" w:fill="FFFFFF"/>
        </w:rPr>
        <w:t xml:space="preserve"> and Access Across America: Auto 2013 </w:t>
      </w:r>
      <w:r w:rsidRPr="000A6A9C">
        <w:rPr>
          <w:rFonts w:ascii="Times New Roman" w:hAnsi="Times New Roman" w:cs="Times New Roman"/>
          <w:color w:val="000000"/>
          <w:shd w:val="clear" w:color="auto" w:fill="FFFFFF"/>
        </w:rPr>
        <w:fldChar w:fldCharType="begin"/>
      </w:r>
      <w:r w:rsidRPr="000A6A9C">
        <w:rPr>
          <w:rFonts w:ascii="Times New Roman" w:hAnsi="Times New Roman" w:cs="Times New Roman"/>
          <w:color w:val="000000"/>
          <w:shd w:val="clear" w:color="auto" w:fill="FFFFFF"/>
        </w:rPr>
        <w:instrText xml:space="preserve"> ADDIN ZOTERO_ITEM CSL_CITATION {"citationID":"Yqk5a6Z7","properties":{"formattedCitation":"(Andrew Owen and Levinson 2014)","plainCitation":"(Andrew Owen and Levinson 2014)"},"citationItems":[{"id":145,"uris":["http://zotero.org/users/1646385/items/TE5C8GE5"],"uri":["http://zotero.org/users/1646385/items/TE5C8GE5"],"itemData":{"id":145,"type":"article-journal","title":"Access Across America: Transit 2014","container-title":"University of","source":"Google Scholar","URL":"http://miami.ohiosierraclub.org/wp-content/uploads/2014/10/CTS14-11.pdf","shortTitle":"Access Across America","author":[{"family":"Owen","given":"Andrew"},{"family":"Levinson","given":"David"}],"issued":{"date-parts":[["2014"]]},"accessed":{"date-parts":[["2015",2,8]]}}}],"schema":"https://github.com/citation-style-language/schema/raw/master/csl-citation.json"} </w:instrText>
      </w:r>
      <w:r w:rsidRPr="000A6A9C">
        <w:rPr>
          <w:rFonts w:ascii="Times New Roman" w:hAnsi="Times New Roman" w:cs="Times New Roman"/>
          <w:color w:val="000000"/>
          <w:shd w:val="clear" w:color="auto" w:fill="FFFFFF"/>
        </w:rPr>
        <w:fldChar w:fldCharType="separate"/>
      </w:r>
      <w:r w:rsidR="006A1BAF" w:rsidRPr="000A6A9C">
        <w:rPr>
          <w:rFonts w:ascii="Times New Roman" w:hAnsi="Times New Roman" w:cs="Times New Roman"/>
          <w:color w:val="000000"/>
          <w:shd w:val="clear" w:color="auto" w:fill="FFFFFF"/>
        </w:rPr>
        <w:t>(</w:t>
      </w:r>
      <w:r w:rsidR="00855401">
        <w:rPr>
          <w:rFonts w:ascii="Times New Roman" w:hAnsi="Times New Roman" w:cs="Times New Roman"/>
          <w:color w:val="000000"/>
          <w:shd w:val="clear" w:color="auto" w:fill="FFFFFF"/>
        </w:rPr>
        <w:t>Owen and Levinson 2013</w:t>
      </w:r>
      <w:r w:rsidRPr="000A6A9C">
        <w:rPr>
          <w:rFonts w:ascii="Times New Roman" w:hAnsi="Times New Roman" w:cs="Times New Roman"/>
          <w:color w:val="000000"/>
          <w:shd w:val="clear" w:color="auto" w:fill="FFFFFF"/>
        </w:rPr>
        <w:t>)</w:t>
      </w:r>
      <w:r w:rsidRPr="000A6A9C">
        <w:rPr>
          <w:rFonts w:ascii="Times New Roman" w:hAnsi="Times New Roman" w:cs="Times New Roman"/>
          <w:color w:val="000000"/>
          <w:shd w:val="clear" w:color="auto" w:fill="FFFFFF"/>
        </w:rPr>
        <w:fldChar w:fldCharType="end"/>
      </w:r>
      <w:r w:rsidRPr="000A6A9C">
        <w:rPr>
          <w:rFonts w:ascii="Times New Roman" w:hAnsi="Times New Roman" w:cs="Times New Roman"/>
          <w:color w:val="000000"/>
          <w:shd w:val="clear" w:color="auto" w:fill="FFFFFF"/>
        </w:rPr>
        <w:t xml:space="preserve">. </w:t>
      </w:r>
    </w:p>
    <w:p w:rsidR="000A13A2" w:rsidRPr="000A6A9C" w:rsidRDefault="000A13A2" w:rsidP="006A1BAF">
      <w:pPr>
        <w:autoSpaceDE w:val="0"/>
        <w:autoSpaceDN w:val="0"/>
        <w:adjustRightInd w:val="0"/>
        <w:spacing w:after="0" w:line="240" w:lineRule="auto"/>
        <w:rPr>
          <w:rFonts w:ascii="Times New Roman" w:hAnsi="Times New Roman" w:cs="Times New Roman"/>
          <w:color w:val="000000"/>
          <w:shd w:val="clear" w:color="auto" w:fill="FFFFFF"/>
        </w:rPr>
      </w:pPr>
    </w:p>
    <w:p w:rsidR="000A13A2" w:rsidRPr="000A6A9C" w:rsidRDefault="000A13A2" w:rsidP="000A13A2">
      <w:pPr>
        <w:outlineLvl w:val="0"/>
        <w:rPr>
          <w:rFonts w:ascii="Times New Roman" w:hAnsi="Times New Roman" w:cs="Times New Roman"/>
          <w:b/>
        </w:rPr>
      </w:pPr>
      <w:r w:rsidRPr="000A6A9C">
        <w:rPr>
          <w:rFonts w:ascii="Times New Roman" w:hAnsi="Times New Roman" w:cs="Times New Roman"/>
          <w:b/>
        </w:rPr>
        <w:t xml:space="preserve">Methodology </w:t>
      </w:r>
    </w:p>
    <w:p w:rsidR="000A13A2" w:rsidRPr="000A6A9C" w:rsidRDefault="000A13A2" w:rsidP="00792F5C">
      <w:pPr>
        <w:outlineLvl w:val="1"/>
        <w:rPr>
          <w:rFonts w:ascii="Times New Roman" w:hAnsi="Times New Roman" w:cs="Times New Roman"/>
        </w:rPr>
      </w:pPr>
      <w:r w:rsidRPr="000A6A9C">
        <w:rPr>
          <w:rFonts w:ascii="Times New Roman" w:hAnsi="Times New Roman" w:cs="Times New Roman"/>
        </w:rPr>
        <w:t xml:space="preserve">1. Cumulative Opportunities Accessibility </w:t>
      </w:r>
    </w:p>
    <w:p w:rsidR="000A13A2" w:rsidRPr="008B03A6" w:rsidRDefault="000A13A2" w:rsidP="000A13A2">
      <w:pPr>
        <w:rPr>
          <w:rFonts w:ascii="Times New Roman" w:hAnsi="Times New Roman" w:cs="Times New Roman"/>
          <w:color w:val="000000"/>
          <w:shd w:val="clear" w:color="auto" w:fill="FFFFFF"/>
        </w:rPr>
      </w:pPr>
      <w:r w:rsidRPr="008B03A6">
        <w:rPr>
          <w:rFonts w:ascii="Times New Roman" w:hAnsi="Times New Roman" w:cs="Times New Roman"/>
          <w:color w:val="000000"/>
          <w:shd w:val="clear" w:color="auto" w:fill="FFFFFF"/>
        </w:rPr>
        <w:t xml:space="preserve">Owen and </w:t>
      </w:r>
      <w:r w:rsidR="00855401" w:rsidRPr="008B03A6">
        <w:rPr>
          <w:rFonts w:ascii="Times New Roman" w:hAnsi="Times New Roman" w:cs="Times New Roman"/>
          <w:color w:val="000000"/>
          <w:shd w:val="clear" w:color="auto" w:fill="FFFFFF"/>
        </w:rPr>
        <w:t>L</w:t>
      </w:r>
      <w:r w:rsidR="00FD1C2C">
        <w:rPr>
          <w:rFonts w:ascii="Times New Roman" w:hAnsi="Times New Roman" w:cs="Times New Roman"/>
          <w:color w:val="000000"/>
          <w:shd w:val="clear" w:color="auto" w:fill="FFFFFF"/>
        </w:rPr>
        <w:t>evinson use</w:t>
      </w:r>
      <w:r w:rsidRPr="008B03A6">
        <w:rPr>
          <w:rFonts w:ascii="Times New Roman" w:hAnsi="Times New Roman" w:cs="Times New Roman"/>
          <w:color w:val="000000"/>
          <w:shd w:val="clear" w:color="auto" w:fill="FFFFFF"/>
        </w:rPr>
        <w:t xml:space="preserve"> a cumulative opportunities measure of acc</w:t>
      </w:r>
      <w:r w:rsidR="00855401">
        <w:rPr>
          <w:rFonts w:ascii="Times New Roman" w:hAnsi="Times New Roman" w:cs="Times New Roman"/>
          <w:color w:val="000000"/>
          <w:shd w:val="clear" w:color="auto" w:fill="FFFFFF"/>
        </w:rPr>
        <w:t>essibility</w:t>
      </w:r>
      <w:r w:rsidRPr="008B03A6">
        <w:rPr>
          <w:rFonts w:ascii="Times New Roman" w:hAnsi="Times New Roman" w:cs="Times New Roman"/>
          <w:color w:val="000000"/>
          <w:shd w:val="clear" w:color="auto" w:fill="FFFFFF"/>
        </w:rPr>
        <w:t>. This approach begins by specifying a mode and travel time of interest, and then counts the number of opportunities that can be reached via that mode within that travel time.</w:t>
      </w:r>
      <w:r w:rsidR="00404E5C" w:rsidRPr="008B03A6">
        <w:rPr>
          <w:rFonts w:ascii="Times New Roman" w:hAnsi="Times New Roman" w:cs="Times New Roman"/>
          <w:color w:val="000000"/>
          <w:shd w:val="clear" w:color="auto" w:fill="FFFFFF"/>
        </w:rPr>
        <w:t xml:space="preserve"> This study examines six time threshold (from 0 to 10 minutes, from 10 to 20 minutes, from 20 to 30 minutes, from 30 to 40 minutes, from 40 to 50 minutes, from 50 to 60 minutes). </w:t>
      </w:r>
      <w:r w:rsidRPr="008B03A6">
        <w:rPr>
          <w:rFonts w:ascii="Times New Roman" w:hAnsi="Times New Roman" w:cs="Times New Roman"/>
          <w:color w:val="000000"/>
          <w:shd w:val="clear" w:color="auto" w:fill="FFFFFF"/>
        </w:rPr>
        <w:t>Access</w:t>
      </w:r>
      <w:r w:rsidR="00404E5C" w:rsidRPr="008B03A6">
        <w:rPr>
          <w:rFonts w:ascii="Times New Roman" w:hAnsi="Times New Roman" w:cs="Times New Roman"/>
          <w:color w:val="000000"/>
          <w:shd w:val="clear" w:color="auto" w:fill="FFFFFF"/>
        </w:rPr>
        <w:t>ibility is calculated as</w:t>
      </w:r>
      <w:r w:rsidRPr="008B03A6">
        <w:rPr>
          <w:rFonts w:ascii="Times New Roman" w:hAnsi="Times New Roman" w:cs="Times New Roman"/>
          <w:color w:val="000000"/>
          <w:shd w:val="clear" w:color="auto" w:fill="FFFFFF"/>
        </w:rPr>
        <w:t>:</w:t>
      </w:r>
    </w:p>
    <w:p w:rsidR="000A13A2" w:rsidRPr="008B03A6" w:rsidRDefault="00F113E4" w:rsidP="000A13A2">
      <w:pPr>
        <w:rPr>
          <w:rFonts w:ascii="Times New Roman" w:hAnsi="Times New Roman" w:cs="Times New Roman"/>
          <w:color w:val="000000"/>
          <w:shd w:val="clear" w:color="auto" w:fill="FFFFFF"/>
        </w:rPr>
      </w:pPr>
      <m:oMathPara>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A</m:t>
              </m:r>
            </m:e>
            <m:sub>
              <m:r>
                <w:rPr>
                  <w:rFonts w:ascii="Cambria Math" w:hAnsi="Cambria Math" w:cs="Times New Roman"/>
                  <w:color w:val="000000"/>
                  <w:shd w:val="clear" w:color="auto" w:fill="FFFFFF"/>
                </w:rPr>
                <m:t>i</m:t>
              </m:r>
              <m:r>
                <m:rPr>
                  <m:sty m:val="p"/>
                </m:rPr>
                <w:rPr>
                  <w:rFonts w:ascii="Cambria Math" w:hAnsi="Cambria Math" w:cs="Times New Roman"/>
                  <w:color w:val="000000"/>
                  <w:shd w:val="clear" w:color="auto" w:fill="FFFFFF"/>
                </w:rPr>
                <m:t xml:space="preserve">, </m:t>
              </m:r>
              <m:r>
                <w:rPr>
                  <w:rFonts w:ascii="Cambria Math" w:hAnsi="Cambria Math" w:cs="Times New Roman"/>
                  <w:color w:val="000000"/>
                  <w:shd w:val="clear" w:color="auto" w:fill="FFFFFF"/>
                </w:rPr>
                <m:t>co</m:t>
              </m:r>
            </m:sub>
          </m:sSub>
          <m:r>
            <m:rPr>
              <m:sty m:val="p"/>
            </m:rPr>
            <w:rPr>
              <w:rFonts w:ascii="Cambria Math" w:hAnsi="Cambria Math" w:cs="Times New Roman"/>
              <w:color w:val="000000"/>
              <w:shd w:val="clear" w:color="auto" w:fill="FFFFFF"/>
            </w:rPr>
            <m:t xml:space="preserve">= </m:t>
          </m:r>
          <m:nary>
            <m:naryPr>
              <m:chr m:val="∑"/>
              <m:limLoc m:val="undOvr"/>
              <m:ctrlPr>
                <w:rPr>
                  <w:rFonts w:ascii="Cambria Math" w:hAnsi="Cambria Math" w:cs="Times New Roman"/>
                  <w:color w:val="000000"/>
                  <w:shd w:val="clear" w:color="auto" w:fill="FFFFFF"/>
                </w:rPr>
              </m:ctrlPr>
            </m:naryPr>
            <m:sub>
              <m:r>
                <w:rPr>
                  <w:rFonts w:ascii="Cambria Math" w:hAnsi="Cambria Math" w:cs="Times New Roman"/>
                  <w:color w:val="000000"/>
                  <w:shd w:val="clear" w:color="auto" w:fill="FFFFFF"/>
                </w:rPr>
                <m:t>j</m:t>
              </m:r>
              <m:r>
                <m:rPr>
                  <m:sty m:val="p"/>
                </m:rPr>
                <w:rPr>
                  <w:rFonts w:ascii="Cambria Math" w:hAnsi="Cambria Math" w:cs="Times New Roman"/>
                  <w:color w:val="000000"/>
                  <w:shd w:val="clear" w:color="auto" w:fill="FFFFFF"/>
                </w:rPr>
                <m:t>=1</m:t>
              </m:r>
            </m:sub>
            <m:sup>
              <m:r>
                <w:rPr>
                  <w:rFonts w:ascii="Cambria Math" w:hAnsi="Cambria Math" w:cs="Times New Roman"/>
                  <w:color w:val="000000"/>
                  <w:shd w:val="clear" w:color="auto" w:fill="FFFFFF"/>
                </w:rPr>
                <m:t>n</m:t>
              </m:r>
            </m:sup>
            <m:e>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O</m:t>
                  </m:r>
                </m:e>
                <m:sub>
                  <m:r>
                    <w:rPr>
                      <w:rFonts w:ascii="Cambria Math" w:hAnsi="Cambria Math" w:cs="Times New Roman"/>
                      <w:color w:val="000000"/>
                      <w:shd w:val="clear" w:color="auto" w:fill="FFFFFF"/>
                    </w:rPr>
                    <m:t>J</m:t>
                  </m:r>
                </m:sub>
              </m:sSub>
              <m:r>
                <w:rPr>
                  <w:rFonts w:ascii="Cambria Math" w:hAnsi="Cambria Math" w:cs="Times New Roman"/>
                  <w:color w:val="000000"/>
                  <w:shd w:val="clear" w:color="auto" w:fill="FFFFFF"/>
                </w:rPr>
                <m:t>f</m:t>
              </m:r>
              <m:r>
                <m:rPr>
                  <m:sty m:val="p"/>
                </m:rPr>
                <w:rPr>
                  <w:rFonts w:ascii="Cambria Math" w:hAnsi="Cambria Math" w:cs="Times New Roman"/>
                  <w:color w:val="000000"/>
                  <w:shd w:val="clear" w:color="auto" w:fill="FFFFFF"/>
                </w:rPr>
                <m:t>(</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C</m:t>
                  </m:r>
                </m:e>
                <m:sub>
                  <m:r>
                    <w:rPr>
                      <w:rFonts w:ascii="Cambria Math" w:hAnsi="Cambria Math" w:cs="Times New Roman"/>
                      <w:color w:val="000000"/>
                      <w:shd w:val="clear" w:color="auto" w:fill="FFFFFF"/>
                    </w:rPr>
                    <m:t>ij</m:t>
                  </m:r>
                </m:sub>
              </m:sSub>
            </m:e>
          </m:nary>
          <m:r>
            <m:rPr>
              <m:sty m:val="p"/>
            </m:rPr>
            <w:rPr>
              <w:rFonts w:ascii="Cambria Math" w:hAnsi="Cambria Math" w:cs="Times New Roman"/>
              <w:color w:val="000000"/>
              <w:shd w:val="clear" w:color="auto" w:fill="FFFFFF"/>
            </w:rPr>
            <m:t>)</m:t>
          </m:r>
        </m:oMath>
      </m:oMathPara>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roofErr w:type="spellStart"/>
      <w:r w:rsidRPr="00855401">
        <w:rPr>
          <w:rFonts w:ascii="Times New Roman" w:hAnsi="Times New Roman" w:cs="Times New Roman"/>
          <w:i/>
          <w:color w:val="000000"/>
          <w:shd w:val="clear" w:color="auto" w:fill="FFFFFF"/>
        </w:rPr>
        <w:t>A</w:t>
      </w:r>
      <w:r w:rsidRPr="00855401">
        <w:rPr>
          <w:rFonts w:ascii="Times New Roman" w:hAnsi="Times New Roman" w:cs="Times New Roman"/>
          <w:i/>
          <w:color w:val="000000"/>
          <w:shd w:val="clear" w:color="auto" w:fill="FFFFFF"/>
          <w:vertAlign w:val="subscript"/>
        </w:rPr>
        <w:t>j</w:t>
      </w:r>
      <w:proofErr w:type="spellEnd"/>
      <w:r w:rsidRPr="008B03A6">
        <w:rPr>
          <w:rFonts w:ascii="Times New Roman" w:hAnsi="Times New Roman" w:cs="Times New Roman"/>
          <w:color w:val="000000"/>
          <w:shd w:val="clear" w:color="auto" w:fill="FFFFFF"/>
        </w:rPr>
        <w:t>, co = cumulative opportunities accessibility from a zone (</w:t>
      </w:r>
      <w:proofErr w:type="spellStart"/>
      <w:r w:rsidRPr="008B03A6">
        <w:rPr>
          <w:rFonts w:ascii="Times New Roman" w:hAnsi="Times New Roman" w:cs="Times New Roman"/>
          <w:color w:val="000000"/>
          <w:shd w:val="clear" w:color="auto" w:fill="FFFFFF"/>
        </w:rPr>
        <w:t>i</w:t>
      </w:r>
      <w:proofErr w:type="spellEnd"/>
      <w:r w:rsidRPr="008B03A6">
        <w:rPr>
          <w:rFonts w:ascii="Times New Roman" w:hAnsi="Times New Roman" w:cs="Times New Roman"/>
          <w:color w:val="000000"/>
          <w:shd w:val="clear" w:color="auto" w:fill="FFFFFF"/>
        </w:rPr>
        <w:t>) to the considered type of opportunities</w:t>
      </w: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roofErr w:type="spellStart"/>
      <w:proofErr w:type="gramStart"/>
      <w:r w:rsidRPr="00855401">
        <w:rPr>
          <w:rFonts w:ascii="Times New Roman" w:hAnsi="Times New Roman" w:cs="Times New Roman"/>
          <w:i/>
          <w:color w:val="000000"/>
          <w:shd w:val="clear" w:color="auto" w:fill="FFFFFF"/>
        </w:rPr>
        <w:t>O</w:t>
      </w:r>
      <w:r w:rsidRPr="00855401">
        <w:rPr>
          <w:rFonts w:ascii="Times New Roman" w:hAnsi="Times New Roman" w:cs="Times New Roman"/>
          <w:i/>
          <w:color w:val="000000"/>
          <w:shd w:val="clear" w:color="auto" w:fill="FFFFFF"/>
          <w:vertAlign w:val="subscript"/>
        </w:rPr>
        <w:t>j</w:t>
      </w:r>
      <w:proofErr w:type="spellEnd"/>
      <w:proofErr w:type="gramEnd"/>
      <w:r w:rsidRPr="00855401">
        <w:rPr>
          <w:rFonts w:ascii="Times New Roman" w:hAnsi="Times New Roman" w:cs="Times New Roman"/>
          <w:color w:val="000000"/>
          <w:shd w:val="clear" w:color="auto" w:fill="FFFFFF"/>
          <w:vertAlign w:val="subscript"/>
        </w:rPr>
        <w:t xml:space="preserve"> </w:t>
      </w:r>
      <w:r w:rsidRPr="008B03A6">
        <w:rPr>
          <w:rFonts w:ascii="Times New Roman" w:hAnsi="Times New Roman" w:cs="Times New Roman"/>
          <w:color w:val="000000"/>
          <w:shd w:val="clear" w:color="auto" w:fill="FFFFFF"/>
        </w:rPr>
        <w:t>= number of opportunities of the considered type in zone j (e.g., employment)</w:t>
      </w: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roofErr w:type="spellStart"/>
      <w:r w:rsidRPr="00855401">
        <w:rPr>
          <w:rFonts w:ascii="Times New Roman" w:hAnsi="Times New Roman" w:cs="Times New Roman"/>
          <w:i/>
          <w:color w:val="000000"/>
          <w:shd w:val="clear" w:color="auto" w:fill="FFFFFF"/>
        </w:rPr>
        <w:t>C</w:t>
      </w:r>
      <w:r w:rsidRPr="00855401">
        <w:rPr>
          <w:rFonts w:ascii="Times New Roman" w:hAnsi="Times New Roman" w:cs="Times New Roman"/>
          <w:i/>
          <w:color w:val="000000"/>
          <w:shd w:val="clear" w:color="auto" w:fill="FFFFFF"/>
          <w:vertAlign w:val="subscript"/>
        </w:rPr>
        <w:t>ij</w:t>
      </w:r>
      <w:proofErr w:type="spellEnd"/>
      <w:r w:rsidRPr="008B03A6">
        <w:rPr>
          <w:rFonts w:ascii="Times New Roman" w:hAnsi="Times New Roman" w:cs="Times New Roman"/>
          <w:color w:val="000000"/>
          <w:shd w:val="clear" w:color="auto" w:fill="FFFFFF"/>
        </w:rPr>
        <w:t xml:space="preserve"> = generalized (or real) time or cost of travel from </w:t>
      </w:r>
      <w:proofErr w:type="spellStart"/>
      <w:r w:rsidRPr="008B03A6">
        <w:rPr>
          <w:rFonts w:ascii="Times New Roman" w:hAnsi="Times New Roman" w:cs="Times New Roman"/>
          <w:color w:val="000000"/>
          <w:shd w:val="clear" w:color="auto" w:fill="FFFFFF"/>
        </w:rPr>
        <w:t>i</w:t>
      </w:r>
      <w:proofErr w:type="spellEnd"/>
      <w:r w:rsidRPr="008B03A6">
        <w:rPr>
          <w:rFonts w:ascii="Times New Roman" w:hAnsi="Times New Roman" w:cs="Times New Roman"/>
          <w:color w:val="000000"/>
          <w:shd w:val="clear" w:color="auto" w:fill="FFFFFF"/>
        </w:rPr>
        <w:t xml:space="preserve"> to j </w:t>
      </w: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roofErr w:type="gramStart"/>
      <w:r w:rsidRPr="00855401">
        <w:rPr>
          <w:rFonts w:ascii="Times New Roman" w:hAnsi="Times New Roman" w:cs="Times New Roman"/>
          <w:i/>
          <w:color w:val="000000"/>
          <w:shd w:val="clear" w:color="auto" w:fill="FFFFFF"/>
        </w:rPr>
        <w:t>f</w:t>
      </w:r>
      <w:proofErr w:type="gramEnd"/>
      <w:r w:rsidRPr="00855401">
        <w:rPr>
          <w:rFonts w:ascii="Times New Roman" w:hAnsi="Times New Roman" w:cs="Times New Roman"/>
          <w:i/>
          <w:color w:val="000000"/>
          <w:shd w:val="clear" w:color="auto" w:fill="FFFFFF"/>
        </w:rPr>
        <w:t xml:space="preserve"> (</w:t>
      </w:r>
      <w:proofErr w:type="spellStart"/>
      <w:r w:rsidRPr="00855401">
        <w:rPr>
          <w:rFonts w:ascii="Times New Roman" w:hAnsi="Times New Roman" w:cs="Times New Roman"/>
          <w:i/>
          <w:color w:val="000000"/>
          <w:shd w:val="clear" w:color="auto" w:fill="FFFFFF"/>
        </w:rPr>
        <w:t>C</w:t>
      </w:r>
      <w:r w:rsidRPr="00855401">
        <w:rPr>
          <w:rFonts w:ascii="Times New Roman" w:hAnsi="Times New Roman" w:cs="Times New Roman"/>
          <w:i/>
          <w:color w:val="000000"/>
          <w:shd w:val="clear" w:color="auto" w:fill="FFFFFF"/>
          <w:vertAlign w:val="subscript"/>
        </w:rPr>
        <w:t>ij</w:t>
      </w:r>
      <w:proofErr w:type="spellEnd"/>
      <w:r w:rsidRPr="00855401">
        <w:rPr>
          <w:rFonts w:ascii="Times New Roman" w:hAnsi="Times New Roman" w:cs="Times New Roman"/>
          <w:i/>
          <w:color w:val="000000"/>
          <w:shd w:val="clear" w:color="auto" w:fill="FFFFFF"/>
        </w:rPr>
        <w:t>)</w:t>
      </w:r>
      <w:r w:rsidRPr="008B03A6">
        <w:rPr>
          <w:rFonts w:ascii="Times New Roman" w:hAnsi="Times New Roman" w:cs="Times New Roman"/>
          <w:color w:val="000000"/>
          <w:shd w:val="clear" w:color="auto" w:fill="FFFFFF"/>
        </w:rPr>
        <w:t xml:space="preserve"> = impedance function</w:t>
      </w: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r w:rsidRPr="008B03A6">
        <w:rPr>
          <w:rFonts w:ascii="Times New Roman" w:hAnsi="Times New Roman" w:cs="Times New Roman"/>
          <w:color w:val="000000"/>
          <w:shd w:val="clear" w:color="auto" w:fill="FFFFFF"/>
        </w:rPr>
        <w:t xml:space="preserve">Using the cumulative opportunities measure, </w:t>
      </w:r>
      <w:r w:rsidRPr="007909A3">
        <w:rPr>
          <w:rFonts w:ascii="Times New Roman" w:hAnsi="Times New Roman" w:cs="Times New Roman"/>
          <w:i/>
          <w:color w:val="000000"/>
          <w:shd w:val="clear" w:color="auto" w:fill="FFFFFF"/>
        </w:rPr>
        <w:t>f (</w:t>
      </w:r>
      <w:proofErr w:type="spellStart"/>
      <w:r w:rsidRPr="007909A3">
        <w:rPr>
          <w:rFonts w:ascii="Times New Roman" w:hAnsi="Times New Roman" w:cs="Times New Roman"/>
          <w:i/>
          <w:color w:val="000000"/>
          <w:shd w:val="clear" w:color="auto" w:fill="FFFFFF"/>
        </w:rPr>
        <w:t>C</w:t>
      </w:r>
      <w:r w:rsidRPr="007909A3">
        <w:rPr>
          <w:rFonts w:ascii="Times New Roman" w:hAnsi="Times New Roman" w:cs="Times New Roman"/>
          <w:i/>
          <w:color w:val="000000"/>
          <w:shd w:val="clear" w:color="auto" w:fill="FFFFFF"/>
          <w:vertAlign w:val="subscript"/>
        </w:rPr>
        <w:t>ij</w:t>
      </w:r>
      <w:proofErr w:type="spellEnd"/>
      <w:r w:rsidRPr="007909A3">
        <w:rPr>
          <w:rFonts w:ascii="Times New Roman" w:hAnsi="Times New Roman" w:cs="Times New Roman"/>
          <w:i/>
          <w:color w:val="000000"/>
          <w:shd w:val="clear" w:color="auto" w:fill="FFFFFF"/>
        </w:rPr>
        <w:t>)</w:t>
      </w:r>
      <w:r w:rsidRPr="008B03A6">
        <w:rPr>
          <w:rFonts w:ascii="Times New Roman" w:hAnsi="Times New Roman" w:cs="Times New Roman"/>
          <w:color w:val="000000"/>
          <w:shd w:val="clear" w:color="auto" w:fill="FFFFFF"/>
        </w:rPr>
        <w:t xml:space="preserve"> is defined as 1 if </w:t>
      </w:r>
      <w:proofErr w:type="spellStart"/>
      <w:r w:rsidRPr="007909A3">
        <w:rPr>
          <w:rFonts w:ascii="Times New Roman" w:hAnsi="Times New Roman" w:cs="Times New Roman"/>
          <w:i/>
          <w:color w:val="000000"/>
          <w:shd w:val="clear" w:color="auto" w:fill="FFFFFF"/>
        </w:rPr>
        <w:t>C</w:t>
      </w:r>
      <w:r w:rsidRPr="007909A3">
        <w:rPr>
          <w:rFonts w:ascii="Times New Roman" w:hAnsi="Times New Roman" w:cs="Times New Roman"/>
          <w:i/>
          <w:color w:val="000000"/>
          <w:shd w:val="clear" w:color="auto" w:fill="FFFFFF"/>
          <w:vertAlign w:val="subscript"/>
        </w:rPr>
        <w:t>ij</w:t>
      </w:r>
      <w:proofErr w:type="spellEnd"/>
      <w:r w:rsidRPr="008B03A6">
        <w:rPr>
          <w:rFonts w:ascii="Times New Roman" w:hAnsi="Times New Roman" w:cs="Times New Roman"/>
          <w:color w:val="000000"/>
          <w:shd w:val="clear" w:color="auto" w:fill="FFFFFF"/>
        </w:rPr>
        <w:t xml:space="preserve"> &lt; T and 0 otherwise. T is the travel time threshold for which we will compute the number of activities that can be reached.</w:t>
      </w: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
    <w:p w:rsidR="000A13A2" w:rsidRPr="008B03A6" w:rsidRDefault="000A13A2" w:rsidP="00792F5C">
      <w:pPr>
        <w:autoSpaceDE w:val="0"/>
        <w:autoSpaceDN w:val="0"/>
        <w:adjustRightInd w:val="0"/>
        <w:spacing w:after="0" w:line="240" w:lineRule="auto"/>
        <w:outlineLvl w:val="1"/>
        <w:rPr>
          <w:rFonts w:ascii="Times New Roman" w:hAnsi="Times New Roman" w:cs="Times New Roman"/>
          <w:color w:val="000000"/>
          <w:shd w:val="clear" w:color="auto" w:fill="FFFFFF"/>
        </w:rPr>
      </w:pPr>
      <w:r w:rsidRPr="008B03A6">
        <w:rPr>
          <w:rFonts w:ascii="Times New Roman" w:hAnsi="Times New Roman" w:cs="Times New Roman"/>
          <w:color w:val="000000"/>
          <w:shd w:val="clear" w:color="auto" w:fill="FFFFFF"/>
        </w:rPr>
        <w:t xml:space="preserve">2. Worker-weighted accessibility </w:t>
      </w: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r w:rsidRPr="008B03A6">
        <w:rPr>
          <w:rFonts w:ascii="Times New Roman" w:hAnsi="Times New Roman" w:cs="Times New Roman"/>
          <w:color w:val="000000"/>
          <w:shd w:val="clear" w:color="auto" w:fill="FFFFFF"/>
        </w:rPr>
        <w:t xml:space="preserve">To compare accessibility of different level of geography, Owen and Levinson provide worker-weighted accessibility. Accessibility is averaged across all subzones with each subzones’ contribution weighted by the number of workers in that block. </w:t>
      </w: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
    <w:p w:rsidR="000A13A2" w:rsidRPr="008B03A6" w:rsidRDefault="00F113E4" w:rsidP="000A13A2">
      <w:pPr>
        <w:autoSpaceDE w:val="0"/>
        <w:autoSpaceDN w:val="0"/>
        <w:adjustRightInd w:val="0"/>
        <w:spacing w:after="0" w:line="240" w:lineRule="auto"/>
        <w:rPr>
          <w:rFonts w:ascii="Times New Roman" w:hAnsi="Times New Roman" w:cs="Times New Roman"/>
          <w:color w:val="000000"/>
          <w:shd w:val="clear" w:color="auto" w:fill="FFFFFF"/>
        </w:rPr>
      </w:pPr>
      <m:oMathPara>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A</m:t>
              </m:r>
            </m:e>
            <m:sub>
              <m:r>
                <w:rPr>
                  <w:rFonts w:ascii="Cambria Math" w:hAnsi="Cambria Math" w:cs="Times New Roman"/>
                  <w:color w:val="000000"/>
                  <w:shd w:val="clear" w:color="auto" w:fill="FFFFFF"/>
                </w:rPr>
                <m:t>pw</m:t>
              </m:r>
            </m:sub>
          </m:sSub>
          <m:r>
            <m:rPr>
              <m:sty m:val="p"/>
            </m:rPr>
            <w:rPr>
              <w:rFonts w:ascii="Cambria Math" w:hAnsi="Cambria Math" w:cs="Times New Roman"/>
              <w:color w:val="000000"/>
              <w:shd w:val="clear" w:color="auto" w:fill="FFFFFF"/>
            </w:rPr>
            <m:t xml:space="preserve">= </m:t>
          </m:r>
          <m:f>
            <m:fPr>
              <m:ctrlPr>
                <w:rPr>
                  <w:rFonts w:ascii="Cambria Math" w:hAnsi="Cambria Math" w:cs="Times New Roman"/>
                  <w:color w:val="000000"/>
                  <w:shd w:val="clear" w:color="auto" w:fill="FFFFFF"/>
                </w:rPr>
              </m:ctrlPr>
            </m:fPr>
            <m:num>
              <m:nary>
                <m:naryPr>
                  <m:chr m:val="∑"/>
                  <m:limLoc m:val="subSup"/>
                  <m:ctrlPr>
                    <w:rPr>
                      <w:rFonts w:ascii="Cambria Math" w:hAnsi="Cambria Math" w:cs="Times New Roman"/>
                      <w:color w:val="000000"/>
                      <w:shd w:val="clear" w:color="auto" w:fill="FFFFFF"/>
                    </w:rPr>
                  </m:ctrlPr>
                </m:naryPr>
                <m:sub>
                  <m:r>
                    <w:rPr>
                      <w:rFonts w:ascii="Cambria Math" w:hAnsi="Cambria Math" w:cs="Times New Roman"/>
                      <w:color w:val="000000"/>
                      <w:shd w:val="clear" w:color="auto" w:fill="FFFFFF"/>
                    </w:rPr>
                    <m:t>i</m:t>
                  </m:r>
                  <m:r>
                    <m:rPr>
                      <m:sty m:val="p"/>
                    </m:rPr>
                    <w:rPr>
                      <w:rFonts w:ascii="Cambria Math" w:hAnsi="Cambria Math" w:cs="Times New Roman"/>
                      <w:color w:val="000000"/>
                      <w:shd w:val="clear" w:color="auto" w:fill="FFFFFF"/>
                    </w:rPr>
                    <m:t>=1</m:t>
                  </m:r>
                </m:sub>
                <m:sup>
                  <m:r>
                    <w:rPr>
                      <w:rFonts w:ascii="Cambria Math" w:hAnsi="Cambria Math" w:cs="Times New Roman"/>
                      <w:color w:val="000000"/>
                      <w:shd w:val="clear" w:color="auto" w:fill="FFFFFF"/>
                    </w:rPr>
                    <m:t>n</m:t>
                  </m:r>
                </m:sup>
                <m:e>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A</m:t>
                      </m:r>
                    </m:e>
                    <m:sub>
                      <m:r>
                        <w:rPr>
                          <w:rFonts w:ascii="Cambria Math" w:hAnsi="Cambria Math" w:cs="Times New Roman"/>
                          <w:color w:val="000000"/>
                          <w:shd w:val="clear" w:color="auto" w:fill="FFFFFF"/>
                        </w:rPr>
                        <m:t>i</m:t>
                      </m:r>
                    </m:sub>
                  </m:sSub>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P</m:t>
                      </m:r>
                    </m:e>
                    <m:sub>
                      <m:r>
                        <w:rPr>
                          <w:rFonts w:ascii="Cambria Math" w:hAnsi="Cambria Math" w:cs="Times New Roman"/>
                          <w:color w:val="000000"/>
                          <w:shd w:val="clear" w:color="auto" w:fill="FFFFFF"/>
                        </w:rPr>
                        <m:t>i</m:t>
                      </m:r>
                    </m:sub>
                  </m:sSub>
                </m:e>
              </m:nary>
            </m:num>
            <m:den>
              <m:nary>
                <m:naryPr>
                  <m:chr m:val="∑"/>
                  <m:limLoc m:val="subSup"/>
                  <m:ctrlPr>
                    <w:rPr>
                      <w:rFonts w:ascii="Cambria Math" w:hAnsi="Cambria Math" w:cs="Times New Roman"/>
                      <w:color w:val="000000"/>
                      <w:shd w:val="clear" w:color="auto" w:fill="FFFFFF"/>
                    </w:rPr>
                  </m:ctrlPr>
                </m:naryPr>
                <m:sub>
                  <m:r>
                    <w:rPr>
                      <w:rFonts w:ascii="Cambria Math" w:hAnsi="Cambria Math" w:cs="Times New Roman"/>
                      <w:color w:val="000000"/>
                      <w:shd w:val="clear" w:color="auto" w:fill="FFFFFF"/>
                    </w:rPr>
                    <m:t>i</m:t>
                  </m:r>
                  <m:r>
                    <m:rPr>
                      <m:sty m:val="p"/>
                    </m:rPr>
                    <w:rPr>
                      <w:rFonts w:ascii="Cambria Math" w:hAnsi="Cambria Math" w:cs="Times New Roman"/>
                      <w:color w:val="000000"/>
                      <w:shd w:val="clear" w:color="auto" w:fill="FFFFFF"/>
                    </w:rPr>
                    <m:t>=1</m:t>
                  </m:r>
                </m:sub>
                <m:sup>
                  <m:r>
                    <w:rPr>
                      <w:rFonts w:ascii="Cambria Math" w:hAnsi="Cambria Math" w:cs="Times New Roman"/>
                      <w:color w:val="000000"/>
                      <w:shd w:val="clear" w:color="auto" w:fill="FFFFFF"/>
                    </w:rPr>
                    <m:t>n</m:t>
                  </m:r>
                </m:sup>
                <m:e>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P</m:t>
                      </m:r>
                    </m:e>
                    <m:sub>
                      <m:r>
                        <w:rPr>
                          <w:rFonts w:ascii="Cambria Math" w:hAnsi="Cambria Math" w:cs="Times New Roman"/>
                          <w:color w:val="000000"/>
                          <w:shd w:val="clear" w:color="auto" w:fill="FFFFFF"/>
                        </w:rPr>
                        <m:t>i</m:t>
                      </m:r>
                    </m:sub>
                  </m:sSub>
                </m:e>
              </m:nary>
            </m:den>
          </m:f>
        </m:oMath>
      </m:oMathPara>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roofErr w:type="spellStart"/>
      <w:r w:rsidRPr="003E4AB1">
        <w:rPr>
          <w:rFonts w:ascii="Times New Roman" w:hAnsi="Times New Roman" w:cs="Times New Roman"/>
          <w:i/>
          <w:color w:val="000000"/>
          <w:shd w:val="clear" w:color="auto" w:fill="FFFFFF"/>
        </w:rPr>
        <w:t>A</w:t>
      </w:r>
      <w:r w:rsidRPr="003E4AB1">
        <w:rPr>
          <w:rFonts w:ascii="Times New Roman" w:hAnsi="Times New Roman" w:cs="Times New Roman"/>
          <w:i/>
          <w:color w:val="000000"/>
          <w:shd w:val="clear" w:color="auto" w:fill="FFFFFF"/>
          <w:vertAlign w:val="subscript"/>
        </w:rPr>
        <w:t>pw</w:t>
      </w:r>
      <w:proofErr w:type="spellEnd"/>
      <w:r w:rsidRPr="003E4AB1">
        <w:rPr>
          <w:rFonts w:ascii="Times New Roman" w:hAnsi="Times New Roman" w:cs="Times New Roman"/>
          <w:i/>
          <w:color w:val="000000"/>
          <w:shd w:val="clear" w:color="auto" w:fill="FFFFFF"/>
        </w:rPr>
        <w:t xml:space="preserve"> </w:t>
      </w:r>
      <w:r w:rsidRPr="008B03A6">
        <w:rPr>
          <w:rFonts w:ascii="Times New Roman" w:hAnsi="Times New Roman" w:cs="Times New Roman"/>
          <w:color w:val="000000"/>
          <w:shd w:val="clear" w:color="auto" w:fill="FFFFFF"/>
        </w:rPr>
        <w:t>= worker-weighted average accessibility of all subzones</w:t>
      </w: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r w:rsidRPr="003E4AB1">
        <w:rPr>
          <w:rFonts w:ascii="Times New Roman" w:hAnsi="Times New Roman" w:cs="Times New Roman"/>
          <w:i/>
          <w:color w:val="000000"/>
          <w:shd w:val="clear" w:color="auto" w:fill="FFFFFF"/>
        </w:rPr>
        <w:t>P</w:t>
      </w:r>
      <w:r w:rsidRPr="003E4AB1">
        <w:rPr>
          <w:rFonts w:ascii="Times New Roman" w:hAnsi="Times New Roman" w:cs="Times New Roman"/>
          <w:i/>
          <w:color w:val="000000"/>
          <w:shd w:val="clear" w:color="auto" w:fill="FFFFFF"/>
          <w:vertAlign w:val="subscript"/>
        </w:rPr>
        <w:t>i</w:t>
      </w:r>
      <w:r w:rsidRPr="003E4AB1">
        <w:rPr>
          <w:rFonts w:ascii="Times New Roman" w:hAnsi="Times New Roman" w:cs="Times New Roman"/>
          <w:color w:val="000000"/>
          <w:shd w:val="clear" w:color="auto" w:fill="FFFFFF"/>
        </w:rPr>
        <w:t xml:space="preserve"> </w:t>
      </w:r>
      <w:r w:rsidRPr="008B03A6">
        <w:rPr>
          <w:rFonts w:ascii="Times New Roman" w:hAnsi="Times New Roman" w:cs="Times New Roman"/>
          <w:color w:val="000000"/>
          <w:shd w:val="clear" w:color="auto" w:fill="FFFFFF"/>
        </w:rPr>
        <w:t xml:space="preserve">=population in subzones </w:t>
      </w:r>
      <w:proofErr w:type="spellStart"/>
      <w:r w:rsidRPr="008B03A6">
        <w:rPr>
          <w:rFonts w:ascii="Times New Roman" w:hAnsi="Times New Roman" w:cs="Times New Roman"/>
          <w:color w:val="000000"/>
          <w:shd w:val="clear" w:color="auto" w:fill="FFFFFF"/>
        </w:rPr>
        <w:t>i</w:t>
      </w:r>
      <w:proofErr w:type="spellEnd"/>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
    <w:p w:rsidR="003253B7" w:rsidRPr="008B03A6" w:rsidRDefault="003253B7" w:rsidP="000A13A2">
      <w:pPr>
        <w:autoSpaceDE w:val="0"/>
        <w:autoSpaceDN w:val="0"/>
        <w:adjustRightInd w:val="0"/>
        <w:spacing w:after="0" w:line="240" w:lineRule="auto"/>
        <w:rPr>
          <w:rFonts w:ascii="Times New Roman" w:hAnsi="Times New Roman" w:cs="Times New Roman"/>
          <w:color w:val="000000"/>
          <w:shd w:val="clear" w:color="auto" w:fill="FFFFFF"/>
        </w:rPr>
      </w:pPr>
    </w:p>
    <w:p w:rsidR="000A13A2" w:rsidRPr="008B03A6" w:rsidRDefault="000A13A2" w:rsidP="00792F5C">
      <w:pPr>
        <w:autoSpaceDE w:val="0"/>
        <w:autoSpaceDN w:val="0"/>
        <w:adjustRightInd w:val="0"/>
        <w:spacing w:after="0" w:line="240" w:lineRule="auto"/>
        <w:outlineLvl w:val="1"/>
        <w:rPr>
          <w:rFonts w:ascii="Times New Roman" w:hAnsi="Times New Roman" w:cs="Times New Roman"/>
          <w:color w:val="000000"/>
          <w:shd w:val="clear" w:color="auto" w:fill="FFFFFF"/>
        </w:rPr>
      </w:pPr>
      <w:r w:rsidRPr="008B03A6">
        <w:rPr>
          <w:rFonts w:ascii="Times New Roman" w:hAnsi="Times New Roman" w:cs="Times New Roman"/>
          <w:color w:val="000000"/>
          <w:shd w:val="clear" w:color="auto" w:fill="FFFFFF"/>
        </w:rPr>
        <w:t xml:space="preserve">3. Weighted accessibility ranking </w:t>
      </w:r>
    </w:p>
    <w:p w:rsidR="00792F5C" w:rsidRDefault="00792F5C" w:rsidP="000A13A2">
      <w:pPr>
        <w:autoSpaceDE w:val="0"/>
        <w:autoSpaceDN w:val="0"/>
        <w:adjustRightInd w:val="0"/>
        <w:spacing w:after="0" w:line="240" w:lineRule="auto"/>
        <w:rPr>
          <w:rFonts w:ascii="Times New Roman" w:hAnsi="Times New Roman" w:cs="Times New Roman"/>
          <w:color w:val="000000"/>
          <w:shd w:val="clear" w:color="auto" w:fill="FFFFFF"/>
        </w:rPr>
      </w:pP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r w:rsidRPr="008B03A6">
        <w:rPr>
          <w:rFonts w:ascii="Times New Roman" w:hAnsi="Times New Roman" w:cs="Times New Roman"/>
          <w:color w:val="000000"/>
          <w:shd w:val="clear" w:color="auto" w:fill="FFFFFF"/>
        </w:rPr>
        <w:t xml:space="preserve">Metropolitan area rankings are based on an average of </w:t>
      </w:r>
      <w:r w:rsidR="004F3FBF">
        <w:rPr>
          <w:rFonts w:ascii="Times New Roman" w:hAnsi="Times New Roman" w:cs="Times New Roman"/>
          <w:color w:val="000000"/>
          <w:shd w:val="clear" w:color="auto" w:fill="FFFFFF"/>
        </w:rPr>
        <w:t>worker</w:t>
      </w:r>
      <w:r w:rsidRPr="008B03A6">
        <w:rPr>
          <w:rFonts w:ascii="Times New Roman" w:hAnsi="Times New Roman" w:cs="Times New Roman"/>
          <w:color w:val="000000"/>
          <w:shd w:val="clear" w:color="auto" w:fill="FFFFFF"/>
        </w:rPr>
        <w:t>-weighted job accessibility for each</w:t>
      </w:r>
      <w:r w:rsidR="00792F5C">
        <w:rPr>
          <w:rFonts w:ascii="Times New Roman" w:hAnsi="Times New Roman" w:cs="Times New Roman"/>
          <w:color w:val="000000"/>
          <w:shd w:val="clear" w:color="auto" w:fill="FFFFFF"/>
        </w:rPr>
        <w:t xml:space="preserve"> </w:t>
      </w:r>
      <w:r w:rsidRPr="008B03A6">
        <w:rPr>
          <w:rFonts w:ascii="Times New Roman" w:hAnsi="Times New Roman" w:cs="Times New Roman"/>
          <w:color w:val="000000"/>
          <w:shd w:val="clear" w:color="auto" w:fill="FFFFFF"/>
        </w:rPr>
        <w:t>metropolitan area over the six travel time thresholds. In the weighted average of accessibility, destinations reachable in shorter travel times are given more weight. Here time is differenced by thresholds to get a series of “donuts” (e.g., jobs reachable from 0 to 10 minu</w:t>
      </w:r>
      <w:r w:rsidR="00404E5C" w:rsidRPr="008B03A6">
        <w:rPr>
          <w:rFonts w:ascii="Times New Roman" w:hAnsi="Times New Roman" w:cs="Times New Roman"/>
          <w:color w:val="000000"/>
          <w:shd w:val="clear" w:color="auto" w:fill="FFFFFF"/>
        </w:rPr>
        <w:t>tes, from 10 to 20 minutes, from 20 to 30 minutes, from 30 to 40 minutes, from 40 to 50 minutes, from 50 to 60 minutes</w:t>
      </w:r>
      <w:r w:rsidRPr="008B03A6">
        <w:rPr>
          <w:rFonts w:ascii="Times New Roman" w:hAnsi="Times New Roman" w:cs="Times New Roman"/>
          <w:color w:val="000000"/>
          <w:shd w:val="clear" w:color="auto" w:fill="FFFFFF"/>
        </w:rPr>
        <w:t xml:space="preserve">). </w:t>
      </w: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
    <w:p w:rsidR="000A13A2" w:rsidRPr="008B03A6" w:rsidRDefault="00F113E4" w:rsidP="000A13A2">
      <w:pPr>
        <w:autoSpaceDE w:val="0"/>
        <w:autoSpaceDN w:val="0"/>
        <w:adjustRightInd w:val="0"/>
        <w:spacing w:after="0" w:line="240" w:lineRule="auto"/>
        <w:rPr>
          <w:rFonts w:ascii="Times New Roman" w:hAnsi="Times New Roman" w:cs="Times New Roman"/>
          <w:color w:val="000000"/>
          <w:shd w:val="clear" w:color="auto" w:fill="FFFFFF"/>
        </w:rPr>
      </w:pPr>
      <m:oMathPara>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a</m:t>
              </m:r>
            </m:e>
            <m:sub>
              <m:r>
                <w:rPr>
                  <w:rFonts w:ascii="Cambria Math" w:hAnsi="Cambria Math" w:cs="Times New Roman"/>
                  <w:color w:val="000000"/>
                  <w:shd w:val="clear" w:color="auto" w:fill="FFFFFF"/>
                </w:rPr>
                <m:t>w</m:t>
              </m:r>
            </m:sub>
          </m:sSub>
          <m:r>
            <m:rPr>
              <m:sty m:val="p"/>
            </m:rPr>
            <w:rPr>
              <w:rFonts w:ascii="Cambria Math" w:hAnsi="Cambria Math" w:cs="Times New Roman"/>
              <w:color w:val="000000"/>
              <w:shd w:val="clear" w:color="auto" w:fill="FFFFFF"/>
            </w:rPr>
            <m:t xml:space="preserve">= </m:t>
          </m:r>
          <m:nary>
            <m:naryPr>
              <m:chr m:val="∑"/>
              <m:limLoc m:val="undOvr"/>
              <m:supHide m:val="1"/>
              <m:ctrlPr>
                <w:rPr>
                  <w:rFonts w:ascii="Cambria Math" w:hAnsi="Cambria Math" w:cs="Times New Roman"/>
                  <w:color w:val="000000"/>
                  <w:shd w:val="clear" w:color="auto" w:fill="FFFFFF"/>
                </w:rPr>
              </m:ctrlPr>
            </m:naryPr>
            <m:sub>
              <m:r>
                <w:rPr>
                  <w:rFonts w:ascii="Cambria Math" w:hAnsi="Cambria Math" w:cs="Times New Roman"/>
                  <w:color w:val="000000"/>
                  <w:shd w:val="clear" w:color="auto" w:fill="FFFFFF"/>
                </w:rPr>
                <m:t>t</m:t>
              </m:r>
            </m:sub>
            <m:sup/>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a</m:t>
                      </m:r>
                    </m:e>
                    <m:sub>
                      <m:r>
                        <w:rPr>
                          <w:rFonts w:ascii="Cambria Math" w:hAnsi="Cambria Math" w:cs="Times New Roman"/>
                          <w:color w:val="000000"/>
                          <w:shd w:val="clear" w:color="auto" w:fill="FFFFFF"/>
                        </w:rPr>
                        <m:t>t</m:t>
                      </m:r>
                    </m:sub>
                  </m:sSub>
                  <m:r>
                    <m:rPr>
                      <m:sty m:val="p"/>
                    </m:rPr>
                    <w:rPr>
                      <w:rFonts w:ascii="Cambria Math" w:hAnsi="Cambria Math" w:cs="Times New Roman"/>
                      <w:color w:val="000000"/>
                      <w:shd w:val="clear" w:color="auto" w:fill="FFFFFF"/>
                    </w:rPr>
                    <m:t>-</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a</m:t>
                      </m:r>
                    </m:e>
                    <m:sub>
                      <m:r>
                        <w:rPr>
                          <w:rFonts w:ascii="Cambria Math" w:hAnsi="Cambria Math" w:cs="Times New Roman"/>
                          <w:color w:val="000000"/>
                          <w:shd w:val="clear" w:color="auto" w:fill="FFFFFF"/>
                        </w:rPr>
                        <m:t>t</m:t>
                      </m:r>
                      <m:r>
                        <m:rPr>
                          <m:sty m:val="p"/>
                        </m:rPr>
                        <w:rPr>
                          <w:rFonts w:ascii="Cambria Math" w:hAnsi="Cambria Math" w:cs="Times New Roman"/>
                          <w:color w:val="000000"/>
                          <w:shd w:val="clear" w:color="auto" w:fill="FFFFFF"/>
                        </w:rPr>
                        <m:t>-10</m:t>
                      </m:r>
                    </m:sub>
                  </m:sSub>
                </m:e>
              </m:d>
              <m:sSup>
                <m:sSupPr>
                  <m:ctrlPr>
                    <w:rPr>
                      <w:rFonts w:ascii="Cambria Math" w:hAnsi="Cambria Math" w:cs="Times New Roman"/>
                      <w:color w:val="000000"/>
                      <w:shd w:val="clear" w:color="auto" w:fill="FFFFFF"/>
                    </w:rPr>
                  </m:ctrlPr>
                </m:sSupPr>
                <m:e>
                  <m:r>
                    <w:rPr>
                      <w:rFonts w:ascii="Cambria Math" w:hAnsi="Cambria Math" w:cs="Times New Roman"/>
                      <w:color w:val="000000"/>
                      <w:shd w:val="clear" w:color="auto" w:fill="FFFFFF"/>
                    </w:rPr>
                    <m:t>e</m:t>
                  </m:r>
                </m:e>
                <m:sup>
                  <m:r>
                    <w:rPr>
                      <w:rFonts w:ascii="Cambria Math" w:hAnsi="Cambria Math" w:cs="Times New Roman"/>
                      <w:color w:val="000000"/>
                      <w:shd w:val="clear" w:color="auto" w:fill="FFFFFF"/>
                    </w:rPr>
                    <m:t>βt</m:t>
                  </m:r>
                </m:sup>
              </m:sSup>
            </m:e>
          </m:nary>
        </m:oMath>
      </m:oMathPara>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roofErr w:type="gramStart"/>
      <w:r w:rsidRPr="00792F5C">
        <w:rPr>
          <w:rFonts w:ascii="Times New Roman" w:hAnsi="Times New Roman" w:cs="Times New Roman"/>
          <w:i/>
          <w:color w:val="000000"/>
          <w:shd w:val="clear" w:color="auto" w:fill="FFFFFF"/>
        </w:rPr>
        <w:t>a</w:t>
      </w:r>
      <w:r w:rsidRPr="00792F5C">
        <w:rPr>
          <w:rFonts w:ascii="Times New Roman" w:hAnsi="Times New Roman" w:cs="Times New Roman"/>
          <w:i/>
          <w:color w:val="000000"/>
          <w:shd w:val="clear" w:color="auto" w:fill="FFFFFF"/>
          <w:vertAlign w:val="subscript"/>
        </w:rPr>
        <w:t>w</w:t>
      </w:r>
      <w:proofErr w:type="gramEnd"/>
      <w:r w:rsidRPr="008B03A6">
        <w:rPr>
          <w:rFonts w:ascii="Times New Roman" w:hAnsi="Times New Roman" w:cs="Times New Roman"/>
          <w:color w:val="000000"/>
          <w:shd w:val="clear" w:color="auto" w:fill="FFFFFF"/>
        </w:rPr>
        <w:t xml:space="preserve"> =  = Weighted accessibility ranking metric for a single metropolitan area</w:t>
      </w: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proofErr w:type="gramStart"/>
      <w:r w:rsidRPr="00792F5C">
        <w:rPr>
          <w:rFonts w:ascii="Times New Roman" w:hAnsi="Times New Roman" w:cs="Times New Roman"/>
          <w:i/>
          <w:color w:val="000000"/>
          <w:shd w:val="clear" w:color="auto" w:fill="FFFFFF"/>
        </w:rPr>
        <w:t>a</w:t>
      </w:r>
      <w:r w:rsidRPr="00792F5C">
        <w:rPr>
          <w:rFonts w:ascii="Times New Roman" w:hAnsi="Times New Roman" w:cs="Times New Roman"/>
          <w:i/>
          <w:color w:val="000000"/>
          <w:shd w:val="clear" w:color="auto" w:fill="FFFFFF"/>
          <w:vertAlign w:val="subscript"/>
        </w:rPr>
        <w:t>t</w:t>
      </w:r>
      <w:proofErr w:type="gramEnd"/>
      <w:r w:rsidRPr="008B03A6">
        <w:rPr>
          <w:rFonts w:ascii="Times New Roman" w:hAnsi="Times New Roman" w:cs="Times New Roman"/>
          <w:color w:val="000000"/>
          <w:shd w:val="clear" w:color="auto" w:fill="FFFFFF"/>
        </w:rPr>
        <w:t xml:space="preserve"> = Worker-weighted accessibility for threshold t</w:t>
      </w:r>
    </w:p>
    <w:p w:rsidR="000A13A2" w:rsidRPr="008B03A6" w:rsidRDefault="000A13A2" w:rsidP="000A13A2">
      <w:pPr>
        <w:autoSpaceDE w:val="0"/>
        <w:autoSpaceDN w:val="0"/>
        <w:adjustRightInd w:val="0"/>
        <w:spacing w:after="0" w:line="240" w:lineRule="auto"/>
        <w:rPr>
          <w:rFonts w:ascii="Times New Roman" w:hAnsi="Times New Roman" w:cs="Times New Roman"/>
          <w:color w:val="000000"/>
          <w:shd w:val="clear" w:color="auto" w:fill="FFFFFF"/>
        </w:rPr>
      </w:pPr>
      <w:r w:rsidRPr="00792F5C">
        <w:rPr>
          <w:rFonts w:ascii="Times New Roman" w:hAnsi="Times New Roman" w:cs="Times New Roman"/>
          <w:i/>
          <w:color w:val="000000"/>
          <w:shd w:val="clear" w:color="auto" w:fill="FFFFFF"/>
        </w:rPr>
        <w:t>β</w:t>
      </w:r>
      <w:r w:rsidRPr="008B03A6">
        <w:rPr>
          <w:rFonts w:ascii="Times New Roman" w:hAnsi="Times New Roman" w:cs="Times New Roman"/>
          <w:color w:val="000000"/>
          <w:shd w:val="clear" w:color="auto" w:fill="FFFFFF"/>
        </w:rPr>
        <w:t xml:space="preserve"> = -0.08</w:t>
      </w:r>
      <w:r w:rsidR="00792F5C">
        <w:rPr>
          <w:rFonts w:ascii="Times New Roman" w:hAnsi="Times New Roman" w:cs="Times New Roman"/>
          <w:color w:val="000000"/>
          <w:shd w:val="clear" w:color="auto" w:fill="FFFFFF"/>
        </w:rPr>
        <w:t xml:space="preserve"> (calculated </w:t>
      </w:r>
      <w:r w:rsidR="0092114E">
        <w:rPr>
          <w:rFonts w:ascii="Times New Roman" w:hAnsi="Times New Roman" w:cs="Times New Roman"/>
          <w:color w:val="000000"/>
          <w:shd w:val="clear" w:color="auto" w:fill="FFFFFF"/>
        </w:rPr>
        <w:t>through</w:t>
      </w:r>
      <w:r w:rsidR="00792F5C">
        <w:rPr>
          <w:rFonts w:ascii="Times New Roman" w:hAnsi="Times New Roman" w:cs="Times New Roman"/>
          <w:color w:val="000000"/>
          <w:shd w:val="clear" w:color="auto" w:fill="FFFFFF"/>
        </w:rPr>
        <w:t xml:space="preserve"> survey data)</w:t>
      </w:r>
    </w:p>
    <w:p w:rsidR="000A13A2" w:rsidRPr="000A6A9C" w:rsidRDefault="000A13A2" w:rsidP="006A1BAF">
      <w:pPr>
        <w:autoSpaceDE w:val="0"/>
        <w:autoSpaceDN w:val="0"/>
        <w:adjustRightInd w:val="0"/>
        <w:spacing w:after="0" w:line="240" w:lineRule="auto"/>
        <w:rPr>
          <w:rFonts w:ascii="Times New Roman" w:hAnsi="Times New Roman" w:cs="Times New Roman"/>
          <w:color w:val="000000"/>
          <w:shd w:val="clear" w:color="auto" w:fill="FFFFFF"/>
        </w:rPr>
      </w:pPr>
    </w:p>
    <w:p w:rsidR="000A13A2" w:rsidRPr="000A6A9C" w:rsidRDefault="000A13A2" w:rsidP="006A1BAF">
      <w:pPr>
        <w:autoSpaceDE w:val="0"/>
        <w:autoSpaceDN w:val="0"/>
        <w:adjustRightInd w:val="0"/>
        <w:spacing w:after="0" w:line="240" w:lineRule="auto"/>
        <w:rPr>
          <w:rFonts w:ascii="Times New Roman" w:hAnsi="Times New Roman" w:cs="Times New Roman"/>
          <w:color w:val="000000"/>
          <w:shd w:val="clear" w:color="auto" w:fill="FFFFFF"/>
        </w:rPr>
      </w:pPr>
    </w:p>
    <w:p w:rsidR="00C9783E" w:rsidRPr="000A6A9C" w:rsidRDefault="00C9783E" w:rsidP="000A6A9C">
      <w:pPr>
        <w:outlineLvl w:val="0"/>
        <w:rPr>
          <w:rFonts w:ascii="Times New Roman" w:hAnsi="Times New Roman" w:cs="Times New Roman"/>
          <w:b/>
        </w:rPr>
      </w:pPr>
      <w:r w:rsidRPr="000A6A9C">
        <w:rPr>
          <w:rFonts w:ascii="Times New Roman" w:hAnsi="Times New Roman" w:cs="Times New Roman"/>
          <w:b/>
        </w:rPr>
        <w:t>Evaluation:</w:t>
      </w:r>
    </w:p>
    <w:p w:rsidR="00F113E4" w:rsidRDefault="00404E5C" w:rsidP="00210B10">
      <w:pPr>
        <w:rPr>
          <w:rFonts w:ascii="Times New Roman" w:hAnsi="Times New Roman" w:cs="Times New Roman"/>
        </w:rPr>
      </w:pPr>
      <w:r w:rsidRPr="000A6A9C">
        <w:rPr>
          <w:rFonts w:ascii="Times New Roman" w:hAnsi="Times New Roman" w:cs="Times New Roman"/>
        </w:rPr>
        <w:t xml:space="preserve">This study use the number of destinations reachable within a given travel time to measure accessibility. </w:t>
      </w:r>
      <w:r w:rsidR="000519C2">
        <w:rPr>
          <w:rFonts w:ascii="Times New Roman" w:hAnsi="Times New Roman" w:cs="Times New Roman"/>
        </w:rPr>
        <w:t>Th</w:t>
      </w:r>
      <w:r w:rsidR="00F113E4">
        <w:rPr>
          <w:rFonts w:ascii="Times New Roman" w:hAnsi="Times New Roman" w:cs="Times New Roman"/>
        </w:rPr>
        <w:t>is</w:t>
      </w:r>
      <w:r w:rsidR="000519C2">
        <w:rPr>
          <w:rFonts w:ascii="Times New Roman" w:hAnsi="Times New Roman" w:cs="Times New Roman"/>
        </w:rPr>
        <w:t xml:space="preserve"> accessibility is a</w:t>
      </w:r>
      <w:r w:rsidR="00210B10" w:rsidRPr="008B03A6">
        <w:rPr>
          <w:rFonts w:ascii="Times New Roman" w:hAnsi="Times New Roman" w:cs="Times New Roman"/>
        </w:rPr>
        <w:t xml:space="preserve"> travel time-based and opportunity-based accessibility indicators</w:t>
      </w:r>
      <w:r w:rsidR="00F113E4">
        <w:rPr>
          <w:rFonts w:ascii="Times New Roman" w:hAnsi="Times New Roman" w:cs="Times New Roman"/>
        </w:rPr>
        <w:t xml:space="preserve">. </w:t>
      </w:r>
      <w:r w:rsidR="00F113E4" w:rsidRPr="000A6A9C">
        <w:rPr>
          <w:rFonts w:ascii="Times New Roman" w:hAnsi="Times New Roman" w:cs="Times New Roman"/>
        </w:rPr>
        <w:t xml:space="preserve">The chief advantage of the cumulative opportunities measure </w:t>
      </w:r>
      <w:r w:rsidR="00F113E4">
        <w:rPr>
          <w:rFonts w:ascii="Times New Roman" w:hAnsi="Times New Roman" w:cs="Times New Roman"/>
        </w:rPr>
        <w:t xml:space="preserve">is its simplicity to interpret, while </w:t>
      </w:r>
      <w:r w:rsidR="000519C2">
        <w:rPr>
          <w:rFonts w:ascii="Times New Roman" w:hAnsi="Times New Roman" w:cs="Times New Roman"/>
        </w:rPr>
        <w:t>it</w:t>
      </w:r>
      <w:r w:rsidR="00210B10" w:rsidRPr="008B03A6">
        <w:rPr>
          <w:rFonts w:ascii="Times New Roman" w:hAnsi="Times New Roman" w:cs="Times New Roman"/>
        </w:rPr>
        <w:t xml:space="preserve"> can</w:t>
      </w:r>
      <w:r w:rsidR="00210B10">
        <w:rPr>
          <w:rFonts w:ascii="Times New Roman" w:hAnsi="Times New Roman" w:cs="Times New Roman"/>
        </w:rPr>
        <w:t xml:space="preserve">not give overall picture of land use/transportation system. </w:t>
      </w:r>
    </w:p>
    <w:p w:rsidR="00F113E4" w:rsidRDefault="00F113E4" w:rsidP="00F113E4">
      <w:pPr>
        <w:rPr>
          <w:rFonts w:ascii="Times New Roman" w:hAnsi="Times New Roman" w:cs="Times New Roman"/>
        </w:rPr>
      </w:pPr>
      <w:r w:rsidRPr="008B03A6">
        <w:rPr>
          <w:rFonts w:ascii="Times New Roman" w:hAnsi="Times New Roman" w:cs="Times New Roman"/>
        </w:rPr>
        <w:t>O</w:t>
      </w:r>
      <w:r w:rsidRPr="008B03A6">
        <w:rPr>
          <w:rFonts w:ascii="Times New Roman" w:hAnsi="Times New Roman" w:cs="Times New Roman"/>
        </w:rPr>
        <w:t>pportunity-based accessibility</w:t>
      </w:r>
      <w:r>
        <w:rPr>
          <w:rFonts w:ascii="Times New Roman" w:hAnsi="Times New Roman" w:cs="Times New Roman"/>
        </w:rPr>
        <w:t xml:space="preserve"> has two major limitation. First, </w:t>
      </w:r>
      <w:r>
        <w:rPr>
          <w:rFonts w:ascii="Times New Roman" w:hAnsi="Times New Roman" w:cs="Times New Roman"/>
        </w:rPr>
        <w:t>c</w:t>
      </w:r>
      <w:r w:rsidRPr="00224AF3">
        <w:rPr>
          <w:rFonts w:ascii="Times New Roman" w:hAnsi="Times New Roman" w:cs="Times New Roman"/>
        </w:rPr>
        <w:t>umulative opportunities and weighted opportunities measures of accessibility</w:t>
      </w:r>
      <w:r>
        <w:rPr>
          <w:rFonts w:ascii="Times New Roman" w:hAnsi="Times New Roman" w:cs="Times New Roman"/>
        </w:rPr>
        <w:t xml:space="preserve"> </w:t>
      </w:r>
      <w:r w:rsidRPr="00224AF3">
        <w:rPr>
          <w:rFonts w:ascii="Times New Roman" w:hAnsi="Times New Roman" w:cs="Times New Roman"/>
        </w:rPr>
        <w:t>do not account for differences in preferences among individuals—they imply that all</w:t>
      </w:r>
      <w:r>
        <w:rPr>
          <w:rFonts w:ascii="Times New Roman" w:hAnsi="Times New Roman" w:cs="Times New Roman"/>
        </w:rPr>
        <w:t xml:space="preserve"> </w:t>
      </w:r>
      <w:r w:rsidRPr="00224AF3">
        <w:rPr>
          <w:rFonts w:ascii="Times New Roman" w:hAnsi="Times New Roman" w:cs="Times New Roman"/>
        </w:rPr>
        <w:t>people living in the same analysis zone will experience the same level of accessibility.</w:t>
      </w:r>
      <w:r>
        <w:rPr>
          <w:rFonts w:ascii="Times New Roman" w:hAnsi="Times New Roman" w:cs="Times New Roman"/>
        </w:rPr>
        <w:t xml:space="preserve"> </w:t>
      </w:r>
      <w:r w:rsidRPr="00224AF3">
        <w:rPr>
          <w:rFonts w:ascii="Times New Roman" w:hAnsi="Times New Roman" w:cs="Times New Roman"/>
        </w:rPr>
        <w:t>In reality, individuals have different criteria for evaluating potential destinations, and destinations satisfy</w:t>
      </w:r>
      <w:r>
        <w:rPr>
          <w:rFonts w:ascii="Times New Roman" w:hAnsi="Times New Roman" w:cs="Times New Roman"/>
        </w:rPr>
        <w:t xml:space="preserve"> </w:t>
      </w:r>
      <w:r w:rsidRPr="00224AF3">
        <w:rPr>
          <w:rFonts w:ascii="Times New Roman" w:hAnsi="Times New Roman" w:cs="Times New Roman"/>
        </w:rPr>
        <w:t xml:space="preserve">these </w:t>
      </w:r>
      <w:r>
        <w:rPr>
          <w:rFonts w:ascii="Times New Roman" w:hAnsi="Times New Roman" w:cs="Times New Roman"/>
        </w:rPr>
        <w:t>criteria to varying degrees.</w:t>
      </w:r>
      <w:r>
        <w:rPr>
          <w:rFonts w:ascii="Times New Roman" w:hAnsi="Times New Roman" w:cs="Times New Roman"/>
        </w:rPr>
        <w:t xml:space="preserve"> Second, </w:t>
      </w:r>
      <w:r>
        <w:rPr>
          <w:rFonts w:ascii="Times New Roman" w:hAnsi="Times New Roman" w:cs="Times New Roman"/>
        </w:rPr>
        <w:t>c</w:t>
      </w:r>
      <w:r w:rsidRPr="00224AF3">
        <w:rPr>
          <w:rFonts w:ascii="Times New Roman" w:hAnsi="Times New Roman" w:cs="Times New Roman"/>
        </w:rPr>
        <w:t>umulative opportunities and weighted opportunities measures of accessibility</w:t>
      </w:r>
      <w:r>
        <w:rPr>
          <w:rFonts w:ascii="Times New Roman" w:hAnsi="Times New Roman" w:cs="Times New Roman"/>
        </w:rPr>
        <w:t xml:space="preserve"> assumes that people have unlimited amount to time available for travel in a day. However, in reality, most people have constrains. For example,</w:t>
      </w:r>
      <w:r w:rsidRPr="00224AF3">
        <w:rPr>
          <w:rFonts w:ascii="Times New Roman" w:hAnsi="Times New Roman" w:cs="Times New Roman"/>
        </w:rPr>
        <w:t xml:space="preserve"> most people have a set of mandatory activities— most notably, work—that take place at specific times and locations.</w:t>
      </w:r>
    </w:p>
    <w:p w:rsidR="00210B10" w:rsidRDefault="00F113E4" w:rsidP="00210B10">
      <w:pPr>
        <w:rPr>
          <w:rFonts w:ascii="Times New Roman" w:hAnsi="Times New Roman" w:cs="Times New Roman"/>
        </w:rPr>
      </w:pPr>
      <w:r>
        <w:rPr>
          <w:rFonts w:ascii="Times New Roman" w:hAnsi="Times New Roman" w:cs="Times New Roman"/>
        </w:rPr>
        <w:t xml:space="preserve">Further, compared with TCI project, </w:t>
      </w:r>
      <w:r w:rsidR="000519C2">
        <w:rPr>
          <w:rFonts w:ascii="Times New Roman" w:hAnsi="Times New Roman" w:cs="Times New Roman"/>
        </w:rPr>
        <w:t>this study has some limitations. First, t</w:t>
      </w:r>
      <w:r w:rsidR="00210B10" w:rsidRPr="000A6A9C">
        <w:rPr>
          <w:rFonts w:ascii="Times New Roman" w:hAnsi="Times New Roman" w:cs="Times New Roman"/>
        </w:rPr>
        <w:t>his study does not differentiate income groups.</w:t>
      </w:r>
      <w:r w:rsidR="000519C2">
        <w:rPr>
          <w:rFonts w:ascii="Times New Roman" w:hAnsi="Times New Roman" w:cs="Times New Roman"/>
        </w:rPr>
        <w:t xml:space="preserve"> A</w:t>
      </w:r>
      <w:bookmarkStart w:id="0" w:name="_GoBack"/>
      <w:bookmarkEnd w:id="0"/>
      <w:r w:rsidR="000519C2">
        <w:rPr>
          <w:rFonts w:ascii="Times New Roman" w:hAnsi="Times New Roman" w:cs="Times New Roman"/>
        </w:rPr>
        <w:t>ccessibility and value of travel time of different income group people are different.</w:t>
      </w:r>
      <w:r w:rsidR="00210B10">
        <w:rPr>
          <w:rFonts w:ascii="Times New Roman" w:hAnsi="Times New Roman" w:cs="Times New Roman"/>
        </w:rPr>
        <w:t xml:space="preserve"> Second, it</w:t>
      </w:r>
      <w:r w:rsidR="00210B10" w:rsidRPr="000A6A9C">
        <w:rPr>
          <w:rFonts w:ascii="Times New Roman" w:hAnsi="Times New Roman" w:cs="Times New Roman"/>
        </w:rPr>
        <w:t xml:space="preserve"> only measure</w:t>
      </w:r>
      <w:r w:rsidR="00210B10">
        <w:rPr>
          <w:rFonts w:ascii="Times New Roman" w:hAnsi="Times New Roman" w:cs="Times New Roman"/>
        </w:rPr>
        <w:t>s</w:t>
      </w:r>
      <w:r w:rsidR="00210B10" w:rsidRPr="000A6A9C">
        <w:rPr>
          <w:rFonts w:ascii="Times New Roman" w:hAnsi="Times New Roman" w:cs="Times New Roman"/>
        </w:rPr>
        <w:t xml:space="preserve"> the accessibility of jobs. </w:t>
      </w:r>
      <w:r w:rsidR="00210B10">
        <w:rPr>
          <w:rFonts w:ascii="Times New Roman" w:hAnsi="Times New Roman" w:cs="Times New Roman"/>
        </w:rPr>
        <w:t xml:space="preserve">Other types of opportunities are not investigates, such as shop, recreation and others. </w:t>
      </w:r>
      <w:r w:rsidR="00210B10" w:rsidRPr="000A6A9C">
        <w:rPr>
          <w:rFonts w:ascii="Times New Roman" w:hAnsi="Times New Roman" w:cs="Times New Roman"/>
        </w:rPr>
        <w:t xml:space="preserve">And </w:t>
      </w:r>
      <w:r w:rsidR="00210B10">
        <w:rPr>
          <w:rFonts w:ascii="Times New Roman" w:hAnsi="Times New Roman" w:cs="Times New Roman"/>
        </w:rPr>
        <w:t>it</w:t>
      </w:r>
      <w:r w:rsidR="00210B10" w:rsidRPr="000A6A9C">
        <w:rPr>
          <w:rFonts w:ascii="Times New Roman" w:hAnsi="Times New Roman" w:cs="Times New Roman"/>
        </w:rPr>
        <w:t xml:space="preserve"> only calculate accessi</w:t>
      </w:r>
      <w:r w:rsidR="00210B10">
        <w:rPr>
          <w:rFonts w:ascii="Times New Roman" w:hAnsi="Times New Roman" w:cs="Times New Roman"/>
        </w:rPr>
        <w:t xml:space="preserve">bility by transit and auto. Other modes are not investigates. </w:t>
      </w:r>
    </w:p>
    <w:p w:rsidR="00210B10" w:rsidRPr="000A6A9C" w:rsidRDefault="00F113E4" w:rsidP="00210B10">
      <w:pPr>
        <w:rPr>
          <w:rFonts w:ascii="Times New Roman" w:hAnsi="Times New Roman" w:cs="Times New Roman"/>
        </w:rPr>
      </w:pPr>
      <w:r>
        <w:rPr>
          <w:rFonts w:ascii="Times New Roman" w:hAnsi="Times New Roman" w:cs="Times New Roman"/>
        </w:rPr>
        <w:t xml:space="preserve">The methodology of this study have some limitations. </w:t>
      </w:r>
    </w:p>
    <w:p w:rsidR="00DB128F" w:rsidRPr="000A6A9C" w:rsidRDefault="00DB128F" w:rsidP="00C9783E">
      <w:pPr>
        <w:rPr>
          <w:rFonts w:ascii="Times New Roman" w:hAnsi="Times New Roman" w:cs="Times New Roman"/>
        </w:rPr>
      </w:pPr>
      <w:r w:rsidRPr="000A6A9C">
        <w:rPr>
          <w:rFonts w:ascii="Times New Roman" w:hAnsi="Times New Roman" w:cs="Times New Roman"/>
        </w:rPr>
        <w:t xml:space="preserve">First, </w:t>
      </w:r>
      <w:r w:rsidR="00224AF3" w:rsidRPr="000A6A9C">
        <w:rPr>
          <w:rFonts w:ascii="Times New Roman" w:hAnsi="Times New Roman" w:cs="Times New Roman"/>
        </w:rPr>
        <w:t>the</w:t>
      </w:r>
      <w:r w:rsidRPr="000A6A9C">
        <w:rPr>
          <w:rFonts w:ascii="Times New Roman" w:hAnsi="Times New Roman" w:cs="Times New Roman"/>
        </w:rPr>
        <w:t xml:space="preserve"> binary nature of the measure creates artificial distinctions between destinations that may have almost equivalent access costs. For example, in a 30-minute accessibility analysis a destination 29 minutes away would be counted while a destination 31 minutes away would be completely excluded.</w:t>
      </w:r>
    </w:p>
    <w:p w:rsidR="00C9783E" w:rsidRPr="000A6A9C" w:rsidRDefault="00DB128F" w:rsidP="00224AF3">
      <w:pPr>
        <w:rPr>
          <w:rFonts w:ascii="Times New Roman" w:hAnsi="Times New Roman" w:cs="Times New Roman"/>
        </w:rPr>
      </w:pPr>
      <w:r w:rsidRPr="000A6A9C">
        <w:rPr>
          <w:rFonts w:ascii="Times New Roman" w:hAnsi="Times New Roman" w:cs="Times New Roman"/>
        </w:rPr>
        <w:t>A</w:t>
      </w:r>
      <w:r w:rsidR="00C9783E" w:rsidRPr="000A6A9C">
        <w:rPr>
          <w:rFonts w:ascii="Times New Roman" w:hAnsi="Times New Roman" w:cs="Times New Roman"/>
        </w:rPr>
        <w:t xml:space="preserve">lso, the measure’s reliance on travel time thresholds increases the amount of data points and illustrations required to convey a comprehensive assessment of accessibility. Publishing figures and maps which show 30-minute cumulative employment opportunities over- and under-represents the accessibility experienced by individuals who can afford only 20 minutes, or up to 40 minutes, of 3 travel time. Data for additional </w:t>
      </w:r>
      <w:r w:rsidR="00C9783E" w:rsidRPr="000A6A9C">
        <w:rPr>
          <w:rFonts w:ascii="Times New Roman" w:hAnsi="Times New Roman" w:cs="Times New Roman"/>
        </w:rPr>
        <w:lastRenderedPageBreak/>
        <w:t>travel time thresholds can be published, but reaching a balance between concision and a comprehensive representation of accessibility requires trade-offs.</w:t>
      </w:r>
    </w:p>
    <w:p w:rsidR="00C9783E" w:rsidRDefault="00224AF3" w:rsidP="00224AF3">
      <w:pPr>
        <w:rPr>
          <w:rFonts w:ascii="Times New Roman" w:hAnsi="Times New Roman" w:cs="Times New Roman"/>
        </w:rPr>
      </w:pPr>
      <w:r>
        <w:rPr>
          <w:rFonts w:ascii="Times New Roman" w:hAnsi="Times New Roman" w:cs="Times New Roman"/>
        </w:rPr>
        <w:t>Third,</w:t>
      </w:r>
      <w:r w:rsidR="00C9783E" w:rsidRPr="000A6A9C">
        <w:rPr>
          <w:rFonts w:ascii="Times New Roman" w:hAnsi="Times New Roman" w:cs="Times New Roman"/>
        </w:rPr>
        <w:t xml:space="preserve"> this approach requires choosing an exponential coefficient to use in the weighting function, and this choice is not straightforward. Access to Destinations researchers used survey data to estimate the most appropriate exponential coefficients and found that they vary significantly with both mode and trip purpose.</w:t>
      </w:r>
    </w:p>
    <w:p w:rsidR="00F113E4" w:rsidRPr="000A6A9C" w:rsidRDefault="00F113E4" w:rsidP="00224AF3">
      <w:pPr>
        <w:rPr>
          <w:rFonts w:ascii="Times New Roman" w:hAnsi="Times New Roman" w:cs="Times New Roman"/>
        </w:rPr>
      </w:pPr>
    </w:p>
    <w:p w:rsidR="008D523D" w:rsidRPr="000A6A9C" w:rsidRDefault="000A6A9C" w:rsidP="000A6A9C">
      <w:pPr>
        <w:autoSpaceDE w:val="0"/>
        <w:autoSpaceDN w:val="0"/>
        <w:adjustRightInd w:val="0"/>
        <w:spacing w:after="0" w:line="240" w:lineRule="auto"/>
        <w:outlineLvl w:val="0"/>
        <w:rPr>
          <w:rFonts w:ascii="Times New Roman" w:hAnsi="Times New Roman" w:cs="Times New Roman"/>
          <w:b/>
        </w:rPr>
      </w:pPr>
      <w:proofErr w:type="spellStart"/>
      <w:r w:rsidRPr="000A6A9C">
        <w:rPr>
          <w:rFonts w:ascii="Times New Roman" w:hAnsi="Times New Roman" w:cs="Times New Roman"/>
          <w:b/>
        </w:rPr>
        <w:t>Rerences</w:t>
      </w:r>
      <w:proofErr w:type="spellEnd"/>
    </w:p>
    <w:p w:rsidR="008D523D" w:rsidRPr="000A6A9C" w:rsidRDefault="008D523D" w:rsidP="008D523D">
      <w:pPr>
        <w:autoSpaceDE w:val="0"/>
        <w:autoSpaceDN w:val="0"/>
        <w:adjustRightInd w:val="0"/>
        <w:spacing w:after="0" w:line="240" w:lineRule="auto"/>
        <w:rPr>
          <w:rFonts w:ascii="Times New Roman" w:hAnsi="Times New Roman" w:cs="Times New Roman"/>
        </w:rPr>
      </w:pPr>
    </w:p>
    <w:p w:rsidR="00B7639C" w:rsidRPr="000A6A9C" w:rsidRDefault="00B7639C" w:rsidP="00B7639C">
      <w:pPr>
        <w:pStyle w:val="Bibliography"/>
        <w:rPr>
          <w:rFonts w:ascii="Times New Roman" w:hAnsi="Times New Roman" w:cs="Times New Roman"/>
        </w:rPr>
      </w:pPr>
      <w:r w:rsidRPr="000A6A9C">
        <w:rPr>
          <w:rFonts w:ascii="Times New Roman" w:hAnsi="Times New Roman" w:cs="Times New Roman"/>
        </w:rPr>
        <w:fldChar w:fldCharType="begin"/>
      </w:r>
      <w:r w:rsidRPr="000A6A9C">
        <w:rPr>
          <w:rFonts w:ascii="Times New Roman" w:hAnsi="Times New Roman" w:cs="Times New Roman"/>
        </w:rPr>
        <w:instrText xml:space="preserve"> ADDIN ZOTERO_BIBL {"custom":[]} CSL_BIBLIOGRAPHY </w:instrText>
      </w:r>
      <w:r w:rsidRPr="000A6A9C">
        <w:rPr>
          <w:rFonts w:ascii="Times New Roman" w:hAnsi="Times New Roman" w:cs="Times New Roman"/>
        </w:rPr>
        <w:fldChar w:fldCharType="separate"/>
      </w:r>
      <w:r w:rsidRPr="000A6A9C">
        <w:rPr>
          <w:rFonts w:ascii="Times New Roman" w:hAnsi="Times New Roman" w:cs="Times New Roman"/>
        </w:rPr>
        <w:t xml:space="preserve">Owen, A., and D. Levinson. 2012. </w:t>
      </w:r>
      <w:r w:rsidRPr="000A6A9C">
        <w:rPr>
          <w:rFonts w:ascii="Times New Roman" w:hAnsi="Times New Roman" w:cs="Times New Roman"/>
          <w:i/>
          <w:iCs/>
        </w:rPr>
        <w:t>Annual Accessibility Measure for the Twin Cities Metropolitan Area</w:t>
      </w:r>
      <w:r w:rsidRPr="000A6A9C">
        <w:rPr>
          <w:rFonts w:ascii="Times New Roman" w:hAnsi="Times New Roman" w:cs="Times New Roman"/>
        </w:rPr>
        <w:t>. Technical Report 2012-34, Minnesota Department of Transportation.</w:t>
      </w:r>
    </w:p>
    <w:p w:rsidR="00B7639C" w:rsidRPr="000A6A9C" w:rsidRDefault="00B7639C" w:rsidP="00B7639C">
      <w:pPr>
        <w:pStyle w:val="Bibliography"/>
        <w:rPr>
          <w:rFonts w:ascii="Times New Roman" w:hAnsi="Times New Roman" w:cs="Times New Roman"/>
        </w:rPr>
      </w:pPr>
      <w:r w:rsidRPr="000A6A9C">
        <w:rPr>
          <w:rFonts w:ascii="Times New Roman" w:hAnsi="Times New Roman" w:cs="Times New Roman"/>
        </w:rPr>
        <w:t xml:space="preserve">Owen, Andrew, and David Levinson. 2013. “Access Across America: Auto 2013.” </w:t>
      </w:r>
      <w:r w:rsidRPr="000A6A9C">
        <w:rPr>
          <w:rFonts w:ascii="Times New Roman" w:hAnsi="Times New Roman" w:cs="Times New Roman"/>
          <w:i/>
          <w:iCs/>
        </w:rPr>
        <w:t>University of</w:t>
      </w:r>
      <w:r w:rsidRPr="000A6A9C">
        <w:rPr>
          <w:rFonts w:ascii="Times New Roman" w:hAnsi="Times New Roman" w:cs="Times New Roman"/>
        </w:rPr>
        <w:t>. http://www.access.umn.edu/publications/.</w:t>
      </w:r>
    </w:p>
    <w:p w:rsidR="00B7639C" w:rsidRPr="000A6A9C" w:rsidRDefault="00B7639C" w:rsidP="00B7639C">
      <w:pPr>
        <w:pStyle w:val="Bibliography"/>
        <w:rPr>
          <w:rFonts w:ascii="Times New Roman" w:hAnsi="Times New Roman" w:cs="Times New Roman"/>
        </w:rPr>
      </w:pPr>
      <w:r w:rsidRPr="000A6A9C">
        <w:rPr>
          <w:rFonts w:ascii="Times New Roman" w:hAnsi="Times New Roman" w:cs="Times New Roman"/>
        </w:rPr>
        <w:t xml:space="preserve">Owen, Andrew, and David Levinson. 2014. “Access Across America: Transit 2014.” </w:t>
      </w:r>
      <w:r w:rsidRPr="000A6A9C">
        <w:rPr>
          <w:rFonts w:ascii="Times New Roman" w:hAnsi="Times New Roman" w:cs="Times New Roman"/>
          <w:i/>
          <w:iCs/>
        </w:rPr>
        <w:t>University of</w:t>
      </w:r>
      <w:r w:rsidRPr="000A6A9C">
        <w:rPr>
          <w:rFonts w:ascii="Times New Roman" w:hAnsi="Times New Roman" w:cs="Times New Roman"/>
        </w:rPr>
        <w:t xml:space="preserve">. http://www.access.umn.edu/publications/. </w:t>
      </w:r>
    </w:p>
    <w:p w:rsidR="00B7639C" w:rsidRPr="000A6A9C" w:rsidRDefault="00B7639C" w:rsidP="008D523D">
      <w:pPr>
        <w:autoSpaceDE w:val="0"/>
        <w:autoSpaceDN w:val="0"/>
        <w:adjustRightInd w:val="0"/>
        <w:spacing w:after="0" w:line="240" w:lineRule="auto"/>
        <w:rPr>
          <w:rFonts w:ascii="Times New Roman" w:hAnsi="Times New Roman" w:cs="Times New Roman"/>
        </w:rPr>
      </w:pPr>
      <w:r w:rsidRPr="000A6A9C">
        <w:rPr>
          <w:rFonts w:ascii="Times New Roman" w:hAnsi="Times New Roman" w:cs="Times New Roman"/>
        </w:rPr>
        <w:fldChar w:fldCharType="end"/>
      </w:r>
    </w:p>
    <w:sectPr w:rsidR="00B7639C" w:rsidRPr="000A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95"/>
    <w:rsid w:val="000519C2"/>
    <w:rsid w:val="000A13A2"/>
    <w:rsid w:val="000A6A9C"/>
    <w:rsid w:val="00210B10"/>
    <w:rsid w:val="00224AF3"/>
    <w:rsid w:val="003253B7"/>
    <w:rsid w:val="003E4AB1"/>
    <w:rsid w:val="00404E5C"/>
    <w:rsid w:val="00480DDC"/>
    <w:rsid w:val="004F3FBF"/>
    <w:rsid w:val="005947AE"/>
    <w:rsid w:val="00665B90"/>
    <w:rsid w:val="006A1BAF"/>
    <w:rsid w:val="006B4747"/>
    <w:rsid w:val="006E7374"/>
    <w:rsid w:val="0073065F"/>
    <w:rsid w:val="007909A3"/>
    <w:rsid w:val="00792F5C"/>
    <w:rsid w:val="00855401"/>
    <w:rsid w:val="008B03A6"/>
    <w:rsid w:val="008D523D"/>
    <w:rsid w:val="0092114E"/>
    <w:rsid w:val="0096799E"/>
    <w:rsid w:val="00B30DF9"/>
    <w:rsid w:val="00B46E45"/>
    <w:rsid w:val="00B7639C"/>
    <w:rsid w:val="00B76495"/>
    <w:rsid w:val="00C41AF4"/>
    <w:rsid w:val="00C9783E"/>
    <w:rsid w:val="00CA01F4"/>
    <w:rsid w:val="00DB128F"/>
    <w:rsid w:val="00DB16FF"/>
    <w:rsid w:val="00EF4193"/>
    <w:rsid w:val="00F113E4"/>
    <w:rsid w:val="00FD1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A769D-5E40-4C63-AEBC-6BE97858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76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523D"/>
    <w:rPr>
      <w:color w:val="808080"/>
    </w:rPr>
  </w:style>
  <w:style w:type="character" w:customStyle="1" w:styleId="apple-converted-space">
    <w:name w:val="apple-converted-space"/>
    <w:basedOn w:val="DefaultParagraphFont"/>
    <w:rsid w:val="00C9783E"/>
  </w:style>
  <w:style w:type="character" w:styleId="Hyperlink">
    <w:name w:val="Hyperlink"/>
    <w:basedOn w:val="DefaultParagraphFont"/>
    <w:uiPriority w:val="99"/>
    <w:semiHidden/>
    <w:unhideWhenUsed/>
    <w:rsid w:val="0096799E"/>
    <w:rPr>
      <w:color w:val="0000FF"/>
      <w:u w:val="single"/>
    </w:rPr>
  </w:style>
  <w:style w:type="character" w:styleId="Emphasis">
    <w:name w:val="Emphasis"/>
    <w:basedOn w:val="DefaultParagraphFont"/>
    <w:uiPriority w:val="20"/>
    <w:qFormat/>
    <w:rsid w:val="0096799E"/>
    <w:rPr>
      <w:i/>
      <w:iCs/>
    </w:rPr>
  </w:style>
  <w:style w:type="paragraph" w:styleId="Bibliography">
    <w:name w:val="Bibliography"/>
    <w:basedOn w:val="Normal"/>
    <w:next w:val="Normal"/>
    <w:uiPriority w:val="37"/>
    <w:unhideWhenUsed/>
    <w:rsid w:val="00EF4193"/>
    <w:pPr>
      <w:spacing w:after="0" w:line="240" w:lineRule="auto"/>
      <w:ind w:left="720" w:hanging="720"/>
    </w:pPr>
  </w:style>
  <w:style w:type="character" w:customStyle="1" w:styleId="Heading2Char">
    <w:name w:val="Heading 2 Char"/>
    <w:basedOn w:val="DefaultParagraphFont"/>
    <w:link w:val="Heading2"/>
    <w:uiPriority w:val="9"/>
    <w:rsid w:val="00B7639C"/>
    <w:rPr>
      <w:rFonts w:ascii="Times New Roman" w:eastAsia="Times New Roman" w:hAnsi="Times New Roman" w:cs="Times New Roman"/>
      <w:b/>
      <w:bCs/>
      <w:sz w:val="36"/>
      <w:szCs w:val="36"/>
    </w:rPr>
  </w:style>
  <w:style w:type="paragraph" w:styleId="NoSpacing">
    <w:name w:val="No Spacing"/>
    <w:uiPriority w:val="1"/>
    <w:qFormat/>
    <w:rsid w:val="000A13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87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ccess.umn.edu/research/america" TargetMode="External"/><Relationship Id="rId5" Type="http://schemas.openxmlformats.org/officeDocument/2006/relationships/hyperlink" Target="http://access.umn.edu/research/destin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2F797-0CE0-49A5-9883-1AAD04145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Huajie Yang</dc:creator>
  <cp:keywords/>
  <dc:description/>
  <cp:lastModifiedBy>Huajie Yang</cp:lastModifiedBy>
  <cp:revision>19</cp:revision>
  <dcterms:created xsi:type="dcterms:W3CDTF">2015-02-08T19:49:00Z</dcterms:created>
  <dcterms:modified xsi:type="dcterms:W3CDTF">2015-02-09T17:13:00Z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zotero-version="4.0.18"&gt;&lt;session id="9gZTW0hQ"/&gt;&lt;style id="http://www.zotero.org/styles/chicago-author-date"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value="0"/&gt;&lt;/prefs&gt;&lt;/data&gt;</vt:lpwstr>
  </property>
</Properties>
</file>