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DC6" w:rsidRPr="0094229F" w:rsidRDefault="002D2DC6" w:rsidP="002D2DC6">
      <w:pPr>
        <w:outlineLvl w:val="0"/>
        <w:rPr>
          <w:rFonts w:ascii="Times New Roman" w:hAnsi="Times New Roman" w:cs="Times New Roman"/>
          <w:b/>
          <w:color w:val="333333"/>
          <w:sz w:val="24"/>
          <w:szCs w:val="24"/>
          <w:shd w:val="clear" w:color="auto" w:fill="FFFFFF"/>
        </w:rPr>
      </w:pPr>
      <w:r w:rsidRPr="0094229F">
        <w:rPr>
          <w:rFonts w:ascii="Times New Roman" w:hAnsi="Times New Roman" w:cs="Times New Roman"/>
          <w:b/>
          <w:color w:val="333333"/>
          <w:sz w:val="24"/>
          <w:szCs w:val="24"/>
          <w:shd w:val="clear" w:color="auto" w:fill="FFFFFF"/>
        </w:rPr>
        <w:t xml:space="preserve">1. How </w:t>
      </w:r>
      <w:r w:rsidR="009B1B5E" w:rsidRPr="0094229F">
        <w:rPr>
          <w:rFonts w:ascii="Times New Roman" w:hAnsi="Times New Roman" w:cs="Times New Roman"/>
          <w:b/>
          <w:color w:val="333333"/>
          <w:sz w:val="24"/>
          <w:szCs w:val="24"/>
          <w:shd w:val="clear" w:color="auto" w:fill="FFFFFF"/>
        </w:rPr>
        <w:t>to calculate weight for</w:t>
      </w:r>
      <w:r w:rsidRPr="0094229F">
        <w:rPr>
          <w:rFonts w:ascii="Times New Roman" w:hAnsi="Times New Roman" w:cs="Times New Roman"/>
          <w:b/>
          <w:color w:val="333333"/>
          <w:sz w:val="24"/>
          <w:szCs w:val="24"/>
          <w:shd w:val="clear" w:color="auto" w:fill="FFFFFF"/>
        </w:rPr>
        <w:t xml:space="preserve"> lower-level index</w:t>
      </w:r>
      <w:r w:rsidR="0094229F" w:rsidRPr="0094229F">
        <w:rPr>
          <w:rFonts w:ascii="Times New Roman" w:hAnsi="Times New Roman" w:cs="Times New Roman"/>
          <w:b/>
          <w:color w:val="333333"/>
          <w:sz w:val="24"/>
          <w:szCs w:val="24"/>
          <w:shd w:val="clear" w:color="auto" w:fill="FFFFFF"/>
        </w:rPr>
        <w:t xml:space="preserve">? </w:t>
      </w:r>
    </w:p>
    <w:p w:rsidR="00381FF2" w:rsidRPr="0094229F" w:rsidRDefault="00C17729" w:rsidP="0094229F">
      <w:pPr>
        <w:rPr>
          <w:rFonts w:ascii="Times New Roman" w:hAnsi="Times New Roman" w:cs="Times New Roman"/>
          <w:color w:val="231F20"/>
          <w:sz w:val="24"/>
          <w:szCs w:val="24"/>
        </w:rPr>
      </w:pPr>
      <w:r w:rsidRPr="0094229F">
        <w:rPr>
          <w:rFonts w:ascii="Times New Roman" w:hAnsi="Times New Roman" w:cs="Times New Roman"/>
          <w:sz w:val="24"/>
          <w:szCs w:val="24"/>
          <w:shd w:val="clear" w:color="auto" w:fill="FFFFFF"/>
        </w:rPr>
        <w:t xml:space="preserve">The weight for the lower-level index is not based on expenditure survey data. </w:t>
      </w:r>
      <w:r w:rsidR="00381FF2" w:rsidRPr="0094229F">
        <w:rPr>
          <w:rFonts w:ascii="Times New Roman" w:hAnsi="Times New Roman" w:cs="Times New Roman"/>
          <w:color w:val="231F20"/>
          <w:sz w:val="24"/>
          <w:szCs w:val="24"/>
        </w:rPr>
        <w:t>The weights for the first stage come from the sampling frame for the category</w:t>
      </w:r>
      <w:r w:rsidR="0094229F" w:rsidRPr="0094229F">
        <w:rPr>
          <w:rFonts w:ascii="Times New Roman" w:hAnsi="Times New Roman" w:cs="Times New Roman"/>
          <w:color w:val="231F20"/>
          <w:sz w:val="24"/>
          <w:szCs w:val="24"/>
        </w:rPr>
        <w:t xml:space="preserve">. </w:t>
      </w:r>
      <w:r w:rsidR="0094229F" w:rsidRPr="0094229F">
        <w:rPr>
          <w:rFonts w:ascii="Times New Roman" w:hAnsi="Times New Roman" w:cs="Times New Roman"/>
          <w:color w:val="5B9BD5" w:themeColor="accent1"/>
          <w:sz w:val="24"/>
          <w:szCs w:val="24"/>
        </w:rPr>
        <w:t>(</w:t>
      </w:r>
      <w:proofErr w:type="spellStart"/>
      <w:r w:rsidR="0094229F" w:rsidRPr="0094229F">
        <w:rPr>
          <w:rFonts w:ascii="Times New Roman" w:hAnsi="Times New Roman" w:cs="Times New Roman"/>
          <w:color w:val="5B9BD5" w:themeColor="accent1"/>
          <w:sz w:val="24"/>
          <w:szCs w:val="24"/>
        </w:rPr>
        <w:t>Sampleing</w:t>
      </w:r>
      <w:proofErr w:type="spellEnd"/>
      <w:r w:rsidR="0094229F" w:rsidRPr="0094229F">
        <w:rPr>
          <w:rFonts w:ascii="Times New Roman" w:hAnsi="Times New Roman" w:cs="Times New Roman"/>
          <w:color w:val="5B9BD5" w:themeColor="accent1"/>
          <w:sz w:val="24"/>
          <w:szCs w:val="24"/>
        </w:rPr>
        <w:t xml:space="preserve"> frame</w:t>
      </w:r>
      <w:r w:rsidR="00541A15">
        <w:rPr>
          <w:rFonts w:ascii="Times New Roman" w:hAnsi="Times New Roman" w:cs="Times New Roman"/>
          <w:color w:val="5B9BD5" w:themeColor="accent1"/>
          <w:sz w:val="24"/>
          <w:szCs w:val="24"/>
        </w:rPr>
        <w:t xml:space="preserve"> is a complicate process for items, outlets selection</w:t>
      </w:r>
      <w:r w:rsidR="0094229F" w:rsidRPr="0094229F">
        <w:rPr>
          <w:rFonts w:ascii="Times New Roman" w:hAnsi="Times New Roman" w:cs="Times New Roman"/>
          <w:color w:val="5B9BD5" w:themeColor="accent1"/>
          <w:sz w:val="24"/>
          <w:szCs w:val="24"/>
        </w:rPr>
        <w:t>)</w:t>
      </w:r>
    </w:p>
    <w:p w:rsidR="00B40180" w:rsidRPr="0094229F" w:rsidRDefault="0094229F" w:rsidP="00C17729">
      <w:pPr>
        <w:rPr>
          <w:rFonts w:ascii="Times New Roman" w:hAnsi="Times New Roman" w:cs="Times New Roman"/>
          <w:color w:val="231F20"/>
          <w:sz w:val="24"/>
          <w:szCs w:val="24"/>
        </w:rPr>
      </w:pPr>
      <w:r w:rsidRPr="0094229F">
        <w:rPr>
          <w:rFonts w:ascii="Times New Roman" w:hAnsi="Times New Roman" w:cs="Times New Roman"/>
          <w:color w:val="231F20"/>
          <w:sz w:val="24"/>
          <w:szCs w:val="24"/>
        </w:rPr>
        <w:t>There are about 80,000 quotes included in CPI calculation. The handbook of method published by BLS illustrate how to calculate quote weights</w:t>
      </w:r>
      <w:r w:rsidRPr="0094229F">
        <w:rPr>
          <w:rStyle w:val="FootnoteReference"/>
          <w:rFonts w:ascii="Times New Roman" w:hAnsi="Times New Roman" w:cs="Times New Roman"/>
          <w:color w:val="231F20"/>
          <w:sz w:val="24"/>
          <w:szCs w:val="24"/>
        </w:rPr>
        <w:footnoteReference w:id="1"/>
      </w:r>
      <w:r w:rsidRPr="0094229F">
        <w:rPr>
          <w:rFonts w:ascii="Times New Roman" w:hAnsi="Times New Roman" w:cs="Times New Roman"/>
          <w:color w:val="231F20"/>
          <w:sz w:val="24"/>
          <w:szCs w:val="24"/>
        </w:rPr>
        <w:t xml:space="preserve">. </w:t>
      </w:r>
    </w:p>
    <w:p w:rsidR="0094229F" w:rsidRPr="0094229F" w:rsidRDefault="0094229F" w:rsidP="0094229F">
      <w:pPr>
        <w:jc w:val="center"/>
        <w:rPr>
          <w:rFonts w:ascii="Times New Roman" w:hAnsi="Times New Roman" w:cs="Times New Roman"/>
          <w:i/>
          <w:sz w:val="24"/>
          <w:szCs w:val="24"/>
          <w:shd w:val="clear" w:color="auto" w:fill="FFFFFF"/>
        </w:rPr>
      </w:pPr>
      <w:proofErr w:type="spellStart"/>
      <w:r w:rsidRPr="0094229F">
        <w:rPr>
          <w:rFonts w:ascii="Times New Roman" w:hAnsi="Times New Roman" w:cs="Times New Roman"/>
          <w:i/>
          <w:color w:val="231F20"/>
          <w:sz w:val="24"/>
          <w:szCs w:val="24"/>
        </w:rPr>
        <w:t>W</w:t>
      </w:r>
      <w:r w:rsidRPr="0094229F">
        <w:rPr>
          <w:rFonts w:ascii="Times New Roman" w:hAnsi="Times New Roman" w:cs="Times New Roman"/>
          <w:i/>
          <w:color w:val="231F20"/>
          <w:sz w:val="24"/>
          <w:szCs w:val="24"/>
          <w:vertAlign w:val="subscript"/>
        </w:rPr>
        <w:t>j</w:t>
      </w:r>
      <w:proofErr w:type="spellEnd"/>
      <w:r w:rsidRPr="0094229F">
        <w:rPr>
          <w:rFonts w:ascii="Times New Roman" w:hAnsi="Times New Roman" w:cs="Times New Roman"/>
          <w:i/>
          <w:color w:val="231F20"/>
          <w:sz w:val="24"/>
          <w:szCs w:val="24"/>
          <w:vertAlign w:val="subscript"/>
        </w:rPr>
        <w:t xml:space="preserve">, </w:t>
      </w:r>
      <w:r w:rsidRPr="0094229F">
        <w:rPr>
          <w:rFonts w:ascii="Times New Roman" w:hAnsi="Times New Roman" w:cs="Times New Roman"/>
          <w:i/>
          <w:sz w:val="24"/>
          <w:szCs w:val="24"/>
          <w:shd w:val="clear" w:color="auto" w:fill="FFFFFF"/>
          <w:vertAlign w:val="subscript"/>
        </w:rPr>
        <w:t xml:space="preserve">POPS </w:t>
      </w:r>
      <w:r w:rsidRPr="0094229F">
        <w:rPr>
          <w:rFonts w:ascii="Times New Roman" w:hAnsi="Times New Roman" w:cs="Times New Roman"/>
          <w:i/>
          <w:sz w:val="24"/>
          <w:szCs w:val="24"/>
          <w:shd w:val="clear" w:color="auto" w:fill="FFFFFF"/>
        </w:rPr>
        <w:t>= α</w:t>
      </w:r>
      <w:proofErr w:type="spellStart"/>
      <w:r w:rsidRPr="0094229F">
        <w:rPr>
          <w:rFonts w:ascii="Times New Roman" w:hAnsi="Times New Roman" w:cs="Times New Roman"/>
          <w:i/>
          <w:sz w:val="24"/>
          <w:szCs w:val="24"/>
          <w:shd w:val="clear" w:color="auto" w:fill="FFFFFF"/>
        </w:rPr>
        <w:t>Efgb</w:t>
      </w:r>
      <w:proofErr w:type="spellEnd"/>
      <w:r w:rsidRPr="0094229F">
        <w:rPr>
          <w:rFonts w:ascii="Times New Roman" w:hAnsi="Times New Roman" w:cs="Times New Roman"/>
          <w:i/>
          <w:sz w:val="24"/>
          <w:szCs w:val="24"/>
          <w:shd w:val="clear" w:color="auto" w:fill="FFFFFF"/>
        </w:rPr>
        <w:t>/MB</w:t>
      </w:r>
    </w:p>
    <w:p w:rsidR="0094229F" w:rsidRPr="0094229F" w:rsidRDefault="0094229F" w:rsidP="00C17729">
      <w:pPr>
        <w:rPr>
          <w:rFonts w:ascii="Times New Roman" w:hAnsi="Times New Roman" w:cs="Times New Roman"/>
          <w:sz w:val="24"/>
          <w:szCs w:val="24"/>
          <w:shd w:val="clear" w:color="auto" w:fill="FFFFFF"/>
        </w:rPr>
      </w:pPr>
      <w:proofErr w:type="gramStart"/>
      <w:r w:rsidRPr="0094229F">
        <w:rPr>
          <w:rFonts w:ascii="Times New Roman" w:hAnsi="Times New Roman" w:cs="Times New Roman"/>
          <w:sz w:val="24"/>
          <w:szCs w:val="24"/>
          <w:shd w:val="clear" w:color="auto" w:fill="FFFFFF"/>
        </w:rPr>
        <w:t>where</w:t>
      </w:r>
      <w:proofErr w:type="gramEnd"/>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roofErr w:type="gramStart"/>
      <w:r w:rsidRPr="00541A15">
        <w:rPr>
          <w:rFonts w:ascii="Times New Roman" w:hAnsi="Times New Roman" w:cs="Times New Roman"/>
          <w:i/>
          <w:color w:val="231F20"/>
          <w:sz w:val="24"/>
          <w:szCs w:val="24"/>
        </w:rPr>
        <w:t>α</w:t>
      </w:r>
      <w:proofErr w:type="gramEnd"/>
      <w:r w:rsidRPr="0094229F">
        <w:rPr>
          <w:rFonts w:ascii="Times New Roman" w:hAnsi="Times New Roman" w:cs="Times New Roman"/>
          <w:color w:val="231F20"/>
          <w:sz w:val="24"/>
          <w:szCs w:val="24"/>
        </w:rPr>
        <w:t xml:space="preserve"> is the proportion of the total dollar volume of sales</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for the ELI relative to the entire POPS category within the</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 xml:space="preserve">outlet (called the outlet’s </w:t>
      </w:r>
      <w:r w:rsidRPr="0094229F">
        <w:rPr>
          <w:rFonts w:ascii="Times New Roman" w:hAnsi="Times New Roman" w:cs="Times New Roman"/>
          <w:i/>
          <w:iCs/>
          <w:color w:val="231F20"/>
          <w:sz w:val="24"/>
          <w:szCs w:val="24"/>
        </w:rPr>
        <w:t xml:space="preserve">percent of POPS </w:t>
      </w:r>
      <w:r w:rsidRPr="0094229F">
        <w:rPr>
          <w:rFonts w:ascii="Times New Roman" w:hAnsi="Times New Roman" w:cs="Times New Roman"/>
          <w:color w:val="231F20"/>
          <w:sz w:val="24"/>
          <w:szCs w:val="24"/>
        </w:rPr>
        <w:t>for the ELI);</w:t>
      </w:r>
      <w:r w:rsidRPr="0094229F">
        <w:rPr>
          <w:rFonts w:ascii="Times New Roman" w:hAnsi="Times New Roman" w:cs="Times New Roman"/>
          <w:color w:val="231F20"/>
          <w:sz w:val="24"/>
          <w:szCs w:val="24"/>
        </w:rPr>
        <w:t xml:space="preserve"> </w:t>
      </w: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r w:rsidRPr="0094229F">
        <w:rPr>
          <w:rFonts w:ascii="Times New Roman" w:hAnsi="Times New Roman" w:cs="Times New Roman"/>
          <w:i/>
          <w:iCs/>
          <w:color w:val="231F20"/>
          <w:sz w:val="24"/>
          <w:szCs w:val="24"/>
        </w:rPr>
        <w:t xml:space="preserve">E </w:t>
      </w:r>
      <w:r w:rsidRPr="0094229F">
        <w:rPr>
          <w:rFonts w:ascii="Times New Roman" w:hAnsi="Times New Roman" w:cs="Times New Roman"/>
          <w:color w:val="231F20"/>
          <w:sz w:val="24"/>
          <w:szCs w:val="24"/>
        </w:rPr>
        <w:t>is an estimate of the total daily expenditure for the</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 xml:space="preserve">POPS category in the PSU half-sample by people in the </w:t>
      </w:r>
      <w:proofErr w:type="spellStart"/>
      <w:r w:rsidRPr="0094229F">
        <w:rPr>
          <w:rFonts w:ascii="Times New Roman" w:hAnsi="Times New Roman" w:cs="Times New Roman"/>
          <w:color w:val="231F20"/>
          <w:sz w:val="24"/>
          <w:szCs w:val="24"/>
        </w:rPr>
        <w:t>Upopulation</w:t>
      </w:r>
      <w:proofErr w:type="spellEnd"/>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 xml:space="preserve">(called the </w:t>
      </w:r>
      <w:r w:rsidRPr="0094229F">
        <w:rPr>
          <w:rFonts w:ascii="Times New Roman" w:hAnsi="Times New Roman" w:cs="Times New Roman"/>
          <w:i/>
          <w:iCs/>
          <w:color w:val="231F20"/>
          <w:sz w:val="24"/>
          <w:szCs w:val="24"/>
        </w:rPr>
        <w:t>basic weight</w:t>
      </w:r>
      <w:r w:rsidRPr="0094229F">
        <w:rPr>
          <w:rFonts w:ascii="Times New Roman" w:hAnsi="Times New Roman" w:cs="Times New Roman"/>
          <w:color w:val="231F20"/>
          <w:sz w:val="24"/>
          <w:szCs w:val="24"/>
        </w:rPr>
        <w:t>);</w:t>
      </w:r>
      <w:r w:rsidRPr="0094229F">
        <w:rPr>
          <w:rFonts w:ascii="Times New Roman" w:hAnsi="Times New Roman" w:cs="Times New Roman"/>
          <w:color w:val="231F20"/>
          <w:sz w:val="24"/>
          <w:szCs w:val="24"/>
        </w:rPr>
        <w:t xml:space="preserve"> </w:t>
      </w: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roofErr w:type="gramStart"/>
      <w:r w:rsidRPr="0094229F">
        <w:rPr>
          <w:rFonts w:ascii="Times New Roman" w:hAnsi="Times New Roman" w:cs="Times New Roman"/>
          <w:i/>
          <w:iCs/>
          <w:color w:val="231F20"/>
          <w:sz w:val="24"/>
          <w:szCs w:val="24"/>
        </w:rPr>
        <w:t>f</w:t>
      </w:r>
      <w:proofErr w:type="gramEnd"/>
      <w:r w:rsidRPr="0094229F">
        <w:rPr>
          <w:rFonts w:ascii="Times New Roman" w:hAnsi="Times New Roman" w:cs="Times New Roman"/>
          <w:i/>
          <w:iCs/>
          <w:color w:val="231F20"/>
          <w:sz w:val="24"/>
          <w:szCs w:val="24"/>
        </w:rPr>
        <w:t xml:space="preserve"> </w:t>
      </w:r>
      <w:r w:rsidRPr="0094229F">
        <w:rPr>
          <w:rFonts w:ascii="Times New Roman" w:hAnsi="Times New Roman" w:cs="Times New Roman"/>
          <w:color w:val="231F20"/>
          <w:sz w:val="24"/>
          <w:szCs w:val="24"/>
        </w:rPr>
        <w:t xml:space="preserve">is a </w:t>
      </w:r>
      <w:r w:rsidRPr="0094229F">
        <w:rPr>
          <w:rFonts w:ascii="Times New Roman" w:hAnsi="Times New Roman" w:cs="Times New Roman"/>
          <w:i/>
          <w:iCs/>
          <w:color w:val="231F20"/>
          <w:sz w:val="24"/>
          <w:szCs w:val="24"/>
        </w:rPr>
        <w:t xml:space="preserve">duplication factor </w:t>
      </w:r>
      <w:r w:rsidRPr="0094229F">
        <w:rPr>
          <w:rFonts w:ascii="Times New Roman" w:hAnsi="Times New Roman" w:cs="Times New Roman"/>
          <w:color w:val="231F20"/>
          <w:sz w:val="24"/>
          <w:szCs w:val="24"/>
        </w:rPr>
        <w:t>that accounts for any special</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subsampling of outlets and quotes;</w:t>
      </w:r>
      <w:r w:rsidRPr="0094229F">
        <w:rPr>
          <w:rFonts w:ascii="Times New Roman" w:hAnsi="Times New Roman" w:cs="Times New Roman"/>
          <w:color w:val="231F20"/>
          <w:sz w:val="24"/>
          <w:szCs w:val="24"/>
        </w:rPr>
        <w:t xml:space="preserve"> </w:t>
      </w: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r w:rsidRPr="0094229F">
        <w:rPr>
          <w:rFonts w:ascii="Times New Roman" w:hAnsi="Times New Roman" w:cs="Times New Roman"/>
          <w:i/>
          <w:iCs/>
          <w:color w:val="231F20"/>
          <w:sz w:val="24"/>
          <w:szCs w:val="24"/>
        </w:rPr>
        <w:t xml:space="preserve">g </w:t>
      </w:r>
      <w:r w:rsidRPr="0094229F">
        <w:rPr>
          <w:rFonts w:ascii="Times New Roman" w:hAnsi="Times New Roman" w:cs="Times New Roman"/>
          <w:color w:val="231F20"/>
          <w:sz w:val="24"/>
          <w:szCs w:val="24"/>
        </w:rPr>
        <w:t xml:space="preserve">is a </w:t>
      </w:r>
      <w:r w:rsidRPr="0094229F">
        <w:rPr>
          <w:rFonts w:ascii="Times New Roman" w:hAnsi="Times New Roman" w:cs="Times New Roman"/>
          <w:i/>
          <w:iCs/>
          <w:color w:val="231F20"/>
          <w:sz w:val="24"/>
          <w:szCs w:val="24"/>
        </w:rPr>
        <w:t xml:space="preserve">geographic factor </w:t>
      </w:r>
      <w:r w:rsidRPr="0094229F">
        <w:rPr>
          <w:rFonts w:ascii="Times New Roman" w:hAnsi="Times New Roman" w:cs="Times New Roman"/>
          <w:color w:val="231F20"/>
          <w:sz w:val="24"/>
          <w:szCs w:val="24"/>
        </w:rPr>
        <w:t>used to account for differences</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in the index area’s coverage when the CPI is changing</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from an area design based on an old decennial census to a</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design based on a more recent census;</w:t>
      </w: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roofErr w:type="gramStart"/>
      <w:r w:rsidRPr="0094229F">
        <w:rPr>
          <w:rFonts w:ascii="Times New Roman" w:hAnsi="Times New Roman" w:cs="Times New Roman"/>
          <w:i/>
          <w:iCs/>
          <w:color w:val="231F20"/>
          <w:sz w:val="24"/>
          <w:szCs w:val="24"/>
        </w:rPr>
        <w:t>b</w:t>
      </w:r>
      <w:proofErr w:type="gramEnd"/>
      <w:r w:rsidRPr="0094229F">
        <w:rPr>
          <w:rFonts w:ascii="Times New Roman" w:hAnsi="Times New Roman" w:cs="Times New Roman"/>
          <w:i/>
          <w:iCs/>
          <w:color w:val="231F20"/>
          <w:sz w:val="24"/>
          <w:szCs w:val="24"/>
        </w:rPr>
        <w:t xml:space="preserve"> </w:t>
      </w:r>
      <w:r w:rsidRPr="0094229F">
        <w:rPr>
          <w:rFonts w:ascii="Times New Roman" w:hAnsi="Times New Roman" w:cs="Times New Roman"/>
          <w:color w:val="231F20"/>
          <w:sz w:val="24"/>
          <w:szCs w:val="24"/>
        </w:rPr>
        <w:t>is the number of times the ELI was selected to represent</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the item stratum, divided by the total selections for the</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item stratum, in the PSU half-sample;</w:t>
      </w:r>
      <w:r w:rsidRPr="0094229F">
        <w:rPr>
          <w:rFonts w:ascii="Times New Roman" w:hAnsi="Times New Roman" w:cs="Times New Roman"/>
          <w:color w:val="231F20"/>
          <w:sz w:val="24"/>
          <w:szCs w:val="24"/>
        </w:rPr>
        <w:t xml:space="preserve"> </w:t>
      </w: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r w:rsidRPr="0094229F">
        <w:rPr>
          <w:rFonts w:ascii="Times New Roman" w:hAnsi="Times New Roman" w:cs="Times New Roman"/>
          <w:i/>
          <w:iCs/>
          <w:color w:val="231F20"/>
          <w:sz w:val="24"/>
          <w:szCs w:val="24"/>
        </w:rPr>
        <w:t xml:space="preserve">M </w:t>
      </w:r>
      <w:r w:rsidRPr="0094229F">
        <w:rPr>
          <w:rFonts w:ascii="Times New Roman" w:hAnsi="Times New Roman" w:cs="Times New Roman"/>
          <w:color w:val="231F20"/>
          <w:sz w:val="24"/>
          <w:szCs w:val="24"/>
        </w:rPr>
        <w:t>is the number of quotes with usable prices in both</w:t>
      </w:r>
      <w:r w:rsidRPr="0094229F">
        <w:rPr>
          <w:rFonts w:ascii="Times New Roman" w:hAnsi="Times New Roman" w:cs="Times New Roman"/>
          <w:color w:val="231F20"/>
          <w:sz w:val="24"/>
          <w:szCs w:val="24"/>
        </w:rPr>
        <w:t xml:space="preserve"> </w:t>
      </w:r>
      <w:proofErr w:type="gramStart"/>
      <w:r w:rsidRPr="0094229F">
        <w:rPr>
          <w:rFonts w:ascii="Times New Roman" w:hAnsi="Times New Roman" w:cs="Times New Roman"/>
          <w:color w:val="231F20"/>
          <w:sz w:val="24"/>
          <w:szCs w:val="24"/>
        </w:rPr>
        <w:t>months</w:t>
      </w:r>
      <w:proofErr w:type="gramEnd"/>
      <w:r w:rsidRPr="0094229F">
        <w:rPr>
          <w:rFonts w:ascii="Times New Roman" w:hAnsi="Times New Roman" w:cs="Times New Roman"/>
          <w:color w:val="231F20"/>
          <w:sz w:val="24"/>
          <w:szCs w:val="24"/>
        </w:rPr>
        <w:t xml:space="preserve"> </w:t>
      </w:r>
      <w:r w:rsidRPr="0094229F">
        <w:rPr>
          <w:rFonts w:ascii="Times New Roman" w:hAnsi="Times New Roman" w:cs="Times New Roman"/>
          <w:i/>
          <w:iCs/>
          <w:color w:val="231F20"/>
          <w:sz w:val="24"/>
          <w:szCs w:val="24"/>
        </w:rPr>
        <w:t xml:space="preserve">t-1 </w:t>
      </w:r>
      <w:r w:rsidRPr="0094229F">
        <w:rPr>
          <w:rFonts w:ascii="Times New Roman" w:hAnsi="Times New Roman" w:cs="Times New Roman"/>
          <w:color w:val="231F20"/>
          <w:sz w:val="24"/>
          <w:szCs w:val="24"/>
        </w:rPr>
        <w:t xml:space="preserve">and </w:t>
      </w:r>
      <w:r w:rsidRPr="0094229F">
        <w:rPr>
          <w:rFonts w:ascii="Times New Roman" w:hAnsi="Times New Roman" w:cs="Times New Roman"/>
          <w:i/>
          <w:iCs/>
          <w:color w:val="231F20"/>
          <w:sz w:val="24"/>
          <w:szCs w:val="24"/>
        </w:rPr>
        <w:t xml:space="preserve">t </w:t>
      </w:r>
      <w:r w:rsidRPr="0094229F">
        <w:rPr>
          <w:rFonts w:ascii="Times New Roman" w:hAnsi="Times New Roman" w:cs="Times New Roman"/>
          <w:color w:val="231F20"/>
          <w:sz w:val="24"/>
          <w:szCs w:val="24"/>
        </w:rPr>
        <w:t xml:space="preserve">for the ELI-PSU half-sample; </w:t>
      </w:r>
    </w:p>
    <w:p w:rsidR="0094229F" w:rsidRPr="0094229F" w:rsidRDefault="0094229F" w:rsidP="0094229F">
      <w:pPr>
        <w:autoSpaceDE w:val="0"/>
        <w:autoSpaceDN w:val="0"/>
        <w:adjustRightInd w:val="0"/>
        <w:spacing w:after="0" w:line="240" w:lineRule="auto"/>
        <w:rPr>
          <w:rFonts w:ascii="Times New Roman" w:hAnsi="Times New Roman" w:cs="Times New Roman"/>
          <w:color w:val="231F20"/>
          <w:sz w:val="24"/>
          <w:szCs w:val="24"/>
        </w:rPr>
      </w:pPr>
    </w:p>
    <w:p w:rsidR="00B40180" w:rsidRPr="0094229F" w:rsidRDefault="0094229F" w:rsidP="0094229F">
      <w:pPr>
        <w:autoSpaceDE w:val="0"/>
        <w:autoSpaceDN w:val="0"/>
        <w:adjustRightInd w:val="0"/>
        <w:spacing w:after="0" w:line="240" w:lineRule="auto"/>
        <w:rPr>
          <w:rFonts w:ascii="Times New Roman" w:hAnsi="Times New Roman" w:cs="Times New Roman"/>
          <w:sz w:val="24"/>
          <w:szCs w:val="24"/>
          <w:shd w:val="clear" w:color="auto" w:fill="FFFFFF"/>
        </w:rPr>
      </w:pPr>
      <w:r w:rsidRPr="0094229F">
        <w:rPr>
          <w:rFonts w:ascii="Times New Roman" w:hAnsi="Times New Roman" w:cs="Times New Roman"/>
          <w:i/>
          <w:iCs/>
          <w:color w:val="231F20"/>
          <w:sz w:val="24"/>
          <w:szCs w:val="24"/>
        </w:rPr>
        <w:t xml:space="preserve">B </w:t>
      </w:r>
      <w:r w:rsidRPr="0094229F">
        <w:rPr>
          <w:rFonts w:ascii="Times New Roman" w:hAnsi="Times New Roman" w:cs="Times New Roman"/>
          <w:color w:val="231F20"/>
          <w:sz w:val="24"/>
          <w:szCs w:val="24"/>
        </w:rPr>
        <w:t>is the proportion of the item stratum’s expenditure</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accounted for by the ELI in the region.</w:t>
      </w:r>
    </w:p>
    <w:p w:rsidR="0094229F" w:rsidRPr="0094229F" w:rsidRDefault="0094229F" w:rsidP="00C17729">
      <w:pPr>
        <w:rPr>
          <w:rFonts w:ascii="Times New Roman" w:hAnsi="Times New Roman" w:cs="Times New Roman"/>
          <w:sz w:val="24"/>
          <w:szCs w:val="24"/>
          <w:shd w:val="clear" w:color="auto" w:fill="FFFFFF"/>
        </w:rPr>
      </w:pPr>
    </w:p>
    <w:p w:rsidR="00C17729" w:rsidRPr="0094229F" w:rsidRDefault="00C17729" w:rsidP="002D2DC6">
      <w:pPr>
        <w:outlineLvl w:val="0"/>
        <w:rPr>
          <w:rFonts w:ascii="Times New Roman" w:hAnsi="Times New Roman" w:cs="Times New Roman"/>
          <w:b/>
          <w:color w:val="333333"/>
          <w:sz w:val="24"/>
          <w:szCs w:val="24"/>
          <w:shd w:val="clear" w:color="auto" w:fill="FFFFFF"/>
        </w:rPr>
      </w:pPr>
      <w:r w:rsidRPr="0094229F">
        <w:rPr>
          <w:rFonts w:ascii="Times New Roman" w:hAnsi="Times New Roman" w:cs="Times New Roman"/>
          <w:b/>
          <w:color w:val="333333"/>
          <w:sz w:val="24"/>
          <w:szCs w:val="24"/>
          <w:shd w:val="clear" w:color="auto" w:fill="FFFFFF"/>
        </w:rPr>
        <w:t>2. How to calculate weigh for second stage of CPI</w:t>
      </w:r>
    </w:p>
    <w:p w:rsidR="00381FF2" w:rsidRPr="0094229F" w:rsidRDefault="00381FF2" w:rsidP="00381FF2">
      <w:pPr>
        <w:autoSpaceDE w:val="0"/>
        <w:autoSpaceDN w:val="0"/>
        <w:adjustRightInd w:val="0"/>
        <w:spacing w:after="0" w:line="240" w:lineRule="auto"/>
        <w:rPr>
          <w:rFonts w:ascii="Times New Roman" w:hAnsi="Times New Roman" w:cs="Times New Roman"/>
          <w:color w:val="2E74B5" w:themeColor="accent1" w:themeShade="BF"/>
          <w:sz w:val="24"/>
          <w:szCs w:val="24"/>
        </w:rPr>
      </w:pPr>
      <w:r w:rsidRPr="0094229F">
        <w:rPr>
          <w:rFonts w:ascii="Times New Roman" w:hAnsi="Times New Roman" w:cs="Times New Roman"/>
          <w:color w:val="231F20"/>
          <w:sz w:val="24"/>
          <w:szCs w:val="24"/>
        </w:rPr>
        <w:t>The weights for the second stage are derived from reported expenditures from the Consumer Expenditure Survey (CE)</w:t>
      </w:r>
      <w:r w:rsidR="0094229F">
        <w:rPr>
          <w:rFonts w:ascii="Times New Roman" w:hAnsi="Times New Roman" w:cs="Times New Roman"/>
          <w:color w:val="231F20"/>
          <w:sz w:val="24"/>
          <w:szCs w:val="24"/>
        </w:rPr>
        <w:t xml:space="preserve">. </w:t>
      </w:r>
      <w:r w:rsidRPr="0094229F">
        <w:rPr>
          <w:rFonts w:ascii="Times New Roman" w:hAnsi="Times New Roman" w:cs="Times New Roman"/>
          <w:color w:val="2E74B5" w:themeColor="accent1" w:themeShade="BF"/>
          <w:sz w:val="24"/>
          <w:szCs w:val="24"/>
        </w:rPr>
        <w:t xml:space="preserve">(Weights used in 2002-2003 were based on the 1999-2000 Consumer Expenditure Survey; weights used in 2004-05 were based on the 2001-02 Consumer Expenditure Survey; weights used in 2006-07 were based on the 2003-04 Consumer Expenditure Survey.) </w:t>
      </w:r>
    </w:p>
    <w:p w:rsidR="00381FF2" w:rsidRPr="0094229F" w:rsidRDefault="00381FF2" w:rsidP="00381FF2">
      <w:pPr>
        <w:autoSpaceDE w:val="0"/>
        <w:autoSpaceDN w:val="0"/>
        <w:adjustRightInd w:val="0"/>
        <w:spacing w:after="0" w:line="240" w:lineRule="auto"/>
        <w:rPr>
          <w:rFonts w:ascii="Times New Roman" w:hAnsi="Times New Roman" w:cs="Times New Roman"/>
          <w:color w:val="231F20"/>
          <w:sz w:val="24"/>
          <w:szCs w:val="24"/>
        </w:rPr>
      </w:pPr>
    </w:p>
    <w:p w:rsidR="002D2DC6" w:rsidRPr="0094229F" w:rsidRDefault="00CF6212" w:rsidP="00CF6212">
      <w:pPr>
        <w:autoSpaceDE w:val="0"/>
        <w:autoSpaceDN w:val="0"/>
        <w:adjustRightInd w:val="0"/>
        <w:spacing w:after="0" w:line="240" w:lineRule="auto"/>
        <w:rPr>
          <w:rFonts w:ascii="Times New Roman" w:hAnsi="Times New Roman" w:cs="Times New Roman"/>
          <w:color w:val="2E74B5" w:themeColor="accent1" w:themeShade="BF"/>
          <w:sz w:val="24"/>
          <w:szCs w:val="24"/>
        </w:rPr>
      </w:pPr>
      <w:r w:rsidRPr="0094229F">
        <w:rPr>
          <w:rFonts w:ascii="Times New Roman" w:hAnsi="Times New Roman" w:cs="Times New Roman"/>
          <w:sz w:val="24"/>
          <w:szCs w:val="24"/>
          <w:shd w:val="clear" w:color="auto" w:fill="FFFFFF"/>
        </w:rPr>
        <w:t>According to method of handbook published by BLS</w:t>
      </w:r>
      <w:r w:rsidRPr="0094229F">
        <w:rPr>
          <w:rStyle w:val="FootnoteReference"/>
          <w:rFonts w:ascii="Times New Roman" w:hAnsi="Times New Roman" w:cs="Times New Roman"/>
          <w:sz w:val="24"/>
          <w:szCs w:val="24"/>
          <w:shd w:val="clear" w:color="auto" w:fill="FFFFFF"/>
        </w:rPr>
        <w:footnoteReference w:id="2"/>
      </w:r>
      <w:r w:rsidRPr="0094229F">
        <w:rPr>
          <w:rFonts w:ascii="Times New Roman" w:hAnsi="Times New Roman" w:cs="Times New Roman"/>
          <w:sz w:val="24"/>
          <w:szCs w:val="24"/>
          <w:shd w:val="clear" w:color="auto" w:fill="FFFFFF"/>
        </w:rPr>
        <w:t xml:space="preserve">, </w:t>
      </w:r>
      <w:r w:rsidRPr="0094229F">
        <w:rPr>
          <w:rFonts w:ascii="Times New Roman" w:hAnsi="Times New Roman" w:cs="Times New Roman"/>
          <w:color w:val="231F20"/>
          <w:sz w:val="24"/>
          <w:szCs w:val="24"/>
        </w:rPr>
        <w:t>t</w:t>
      </w:r>
      <w:r w:rsidRPr="0094229F">
        <w:rPr>
          <w:rFonts w:ascii="Times New Roman" w:hAnsi="Times New Roman" w:cs="Times New Roman"/>
          <w:color w:val="231F20"/>
          <w:sz w:val="24"/>
          <w:szCs w:val="24"/>
        </w:rPr>
        <w:t>he estimated expenditure</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for item (</w:t>
      </w:r>
      <w:proofErr w:type="spellStart"/>
      <w:r w:rsidRPr="0094229F">
        <w:rPr>
          <w:rFonts w:ascii="Times New Roman" w:hAnsi="Times New Roman" w:cs="Times New Roman"/>
          <w:i/>
          <w:iCs/>
          <w:color w:val="231F20"/>
          <w:sz w:val="24"/>
          <w:szCs w:val="24"/>
        </w:rPr>
        <w:t>i</w:t>
      </w:r>
      <w:proofErr w:type="spellEnd"/>
      <w:r w:rsidRPr="0094229F">
        <w:rPr>
          <w:rFonts w:ascii="Times New Roman" w:hAnsi="Times New Roman" w:cs="Times New Roman"/>
          <w:color w:val="231F20"/>
          <w:sz w:val="24"/>
          <w:szCs w:val="24"/>
        </w:rPr>
        <w:t>) in area</w:t>
      </w:r>
      <w:r w:rsidR="00C17729"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w:t>
      </w:r>
      <w:r w:rsidRPr="0094229F">
        <w:rPr>
          <w:rFonts w:ascii="Times New Roman" w:hAnsi="Times New Roman" w:cs="Times New Roman"/>
          <w:i/>
          <w:iCs/>
          <w:color w:val="231F20"/>
          <w:sz w:val="24"/>
          <w:szCs w:val="24"/>
        </w:rPr>
        <w:t>a</w:t>
      </w:r>
      <w:r w:rsidRPr="0094229F">
        <w:rPr>
          <w:rFonts w:ascii="Times New Roman" w:hAnsi="Times New Roman" w:cs="Times New Roman"/>
          <w:color w:val="231F20"/>
          <w:sz w:val="24"/>
          <w:szCs w:val="24"/>
        </w:rPr>
        <w:t xml:space="preserve">) for population </w:t>
      </w:r>
      <w:r w:rsidRPr="0094229F">
        <w:rPr>
          <w:rFonts w:ascii="Times New Roman" w:hAnsi="Times New Roman" w:cs="Times New Roman"/>
          <w:i/>
          <w:iCs/>
          <w:color w:val="231F20"/>
          <w:sz w:val="24"/>
          <w:szCs w:val="24"/>
        </w:rPr>
        <w:t xml:space="preserve">(p) </w:t>
      </w:r>
      <w:r w:rsidRPr="0094229F">
        <w:rPr>
          <w:rFonts w:ascii="Times New Roman" w:hAnsi="Times New Roman" w:cs="Times New Roman"/>
          <w:color w:val="231F20"/>
          <w:sz w:val="24"/>
          <w:szCs w:val="24"/>
        </w:rPr>
        <w:t>in reference period (</w:t>
      </w:r>
      <w:r w:rsidRPr="0094229F">
        <w:rPr>
          <w:rFonts w:ascii="Times New Roman" w:hAnsi="Times New Roman" w:cs="Times New Roman"/>
          <w:color w:val="231F20"/>
          <w:sz w:val="24"/>
          <w:szCs w:val="24"/>
        </w:rPr>
        <w:t>β</w:t>
      </w:r>
      <w:r w:rsidRPr="0094229F">
        <w:rPr>
          <w:rFonts w:ascii="Times New Roman" w:hAnsi="Times New Roman" w:cs="Times New Roman"/>
          <w:color w:val="231F20"/>
          <w:sz w:val="24"/>
          <w:szCs w:val="24"/>
        </w:rPr>
        <w:t xml:space="preserve"> is derived from</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a weighted average of the item’s relative importance in the</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 xml:space="preserve">elementary area </w:t>
      </w:r>
      <w:r w:rsidRPr="0094229F">
        <w:rPr>
          <w:rFonts w:ascii="Times New Roman" w:hAnsi="Times New Roman" w:cs="Times New Roman"/>
          <w:i/>
          <w:iCs/>
          <w:color w:val="231F20"/>
          <w:sz w:val="24"/>
          <w:szCs w:val="24"/>
        </w:rPr>
        <w:t xml:space="preserve">(a) </w:t>
      </w:r>
      <w:r w:rsidRPr="0094229F">
        <w:rPr>
          <w:rFonts w:ascii="Times New Roman" w:hAnsi="Times New Roman" w:cs="Times New Roman"/>
          <w:color w:val="231F20"/>
          <w:sz w:val="24"/>
          <w:szCs w:val="24"/>
        </w:rPr>
        <w:t>and its relative importance in its corresponding</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region-size classification (</w:t>
      </w:r>
      <w:r w:rsidRPr="0094229F">
        <w:rPr>
          <w:rFonts w:ascii="Times New Roman" w:hAnsi="Times New Roman" w:cs="Times New Roman"/>
          <w:i/>
          <w:iCs/>
          <w:color w:val="231F20"/>
          <w:sz w:val="24"/>
          <w:szCs w:val="24"/>
        </w:rPr>
        <w:t>m</w:t>
      </w:r>
      <w:r w:rsidRPr="0094229F">
        <w:rPr>
          <w:rFonts w:ascii="Times New Roman" w:hAnsi="Times New Roman" w:cs="Times New Roman"/>
          <w:color w:val="231F20"/>
          <w:sz w:val="24"/>
          <w:szCs w:val="24"/>
        </w:rPr>
        <w:t>), for each year encompassing</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31F20"/>
          <w:sz w:val="24"/>
          <w:szCs w:val="24"/>
        </w:rPr>
        <w:t>reference period (</w:t>
      </w:r>
      <w:r w:rsidRPr="0094229F">
        <w:rPr>
          <w:rFonts w:ascii="Times New Roman" w:hAnsi="Times New Roman" w:cs="Times New Roman"/>
          <w:color w:val="231F20"/>
          <w:sz w:val="24"/>
          <w:szCs w:val="24"/>
        </w:rPr>
        <w:t>β</w:t>
      </w:r>
      <w:r w:rsidRPr="0094229F">
        <w:rPr>
          <w:rFonts w:ascii="Times New Roman" w:hAnsi="Times New Roman" w:cs="Times New Roman"/>
          <w:color w:val="231F20"/>
          <w:sz w:val="24"/>
          <w:szCs w:val="24"/>
        </w:rPr>
        <w:t>).</w:t>
      </w:r>
      <w:r w:rsidRPr="0094229F">
        <w:rPr>
          <w:rFonts w:ascii="Times New Roman" w:hAnsi="Times New Roman" w:cs="Times New Roman"/>
          <w:color w:val="231F20"/>
          <w:sz w:val="24"/>
          <w:szCs w:val="24"/>
        </w:rPr>
        <w:t xml:space="preserve"> </w:t>
      </w:r>
      <w:r w:rsidRPr="0094229F">
        <w:rPr>
          <w:rFonts w:ascii="Times New Roman" w:hAnsi="Times New Roman" w:cs="Times New Roman"/>
          <w:color w:val="2E74B5" w:themeColor="accent1" w:themeShade="BF"/>
          <w:sz w:val="24"/>
          <w:szCs w:val="24"/>
        </w:rPr>
        <w:t>(The weight is calculated by relative importance).</w:t>
      </w:r>
      <w:r w:rsidR="00541A15">
        <w:rPr>
          <w:rFonts w:ascii="Times New Roman" w:hAnsi="Times New Roman" w:cs="Times New Roman"/>
          <w:color w:val="2E74B5" w:themeColor="accent1" w:themeShade="BF"/>
          <w:sz w:val="24"/>
          <w:szCs w:val="24"/>
        </w:rPr>
        <w:t xml:space="preserve"> (I still do not totally understand how to calculate </w:t>
      </w:r>
      <w:proofErr w:type="gramStart"/>
      <w:r w:rsidR="00541A15">
        <w:rPr>
          <w:rFonts w:ascii="Times New Roman" w:hAnsi="Times New Roman" w:cs="Times New Roman"/>
          <w:color w:val="2E74B5" w:themeColor="accent1" w:themeShade="BF"/>
          <w:sz w:val="24"/>
          <w:szCs w:val="24"/>
        </w:rPr>
        <w:t>the this</w:t>
      </w:r>
      <w:proofErr w:type="gramEnd"/>
      <w:r w:rsidR="00541A15">
        <w:rPr>
          <w:rFonts w:ascii="Times New Roman" w:hAnsi="Times New Roman" w:cs="Times New Roman"/>
          <w:color w:val="2E74B5" w:themeColor="accent1" w:themeShade="BF"/>
          <w:sz w:val="24"/>
          <w:szCs w:val="24"/>
        </w:rPr>
        <w:t>.)</w:t>
      </w:r>
    </w:p>
    <w:p w:rsidR="009E64B4" w:rsidRPr="0094229F" w:rsidRDefault="009E64B4" w:rsidP="009E64B4">
      <w:pPr>
        <w:autoSpaceDE w:val="0"/>
        <w:autoSpaceDN w:val="0"/>
        <w:adjustRightInd w:val="0"/>
        <w:spacing w:after="0" w:line="240" w:lineRule="auto"/>
        <w:rPr>
          <w:rFonts w:ascii="Times New Roman" w:hAnsi="Times New Roman" w:cs="Times New Roman"/>
          <w:color w:val="5B9BD5" w:themeColor="accent1"/>
          <w:sz w:val="24"/>
          <w:szCs w:val="24"/>
        </w:rPr>
      </w:pPr>
      <w:r w:rsidRPr="0094229F">
        <w:rPr>
          <w:rFonts w:ascii="Times New Roman" w:hAnsi="Times New Roman" w:cs="Times New Roman"/>
          <w:sz w:val="24"/>
          <w:szCs w:val="24"/>
        </w:rPr>
        <w:lastRenderedPageBreak/>
        <w:t xml:space="preserve">According to Schmidt </w:t>
      </w:r>
      <w:r w:rsidRPr="0094229F">
        <w:rPr>
          <w:rFonts w:ascii="Times New Roman" w:hAnsi="Times New Roman" w:cs="Times New Roman"/>
          <w:sz w:val="24"/>
          <w:szCs w:val="24"/>
        </w:rPr>
        <w:fldChar w:fldCharType="begin"/>
      </w:r>
      <w:r w:rsidRPr="0094229F">
        <w:rPr>
          <w:rFonts w:ascii="Times New Roman" w:hAnsi="Times New Roman" w:cs="Times New Roman"/>
          <w:sz w:val="24"/>
          <w:szCs w:val="24"/>
        </w:rPr>
        <w:instrText xml:space="preserve"> ADDIN ZOTERO_ITEM CSL_CITATION {"citationID":"WKYySErn","properties":{"formattedCitation":"(Schmidt and Statistics, n.d.)","plainCitation":"(Schmidt and Statistics, n.d.)"},"citationItems":[{"id":159,"uris":["http://zotero.org/users/1646385/items/P8R6N82M"],"uri":["http://zotero.org/users/1646385/items/P8R6N82M"],"itemData":{"id":159,"type":"book","title":"Comparing market basket changes and the CPI","source":"CiteSeer","abstract":"The views expressed are those of the author and do not necessarily represent an official position of BLS Consumer expenditures on specific items vary widely over time, consumers tend to maintain a pattern of expenditures for much longer time periods. The market basket of goods and services that make up the Consumer Price Index (CPI) is divided into seven major groups, such as food and beverages or housing. The pattern of consumer expenditures at this level changes more slowly than the components within a group. A Consumer Price Index is one of the most widely used economic indicators. It is a measure of the average change in the prices paid, in the United States, by urban consumers for a fixed market basket of goods and services. Knowing that consumers are constantly offered new items to include in their market basket, how do changing market baskets influence the CPI? The answer is not unambiguous and depends on the importance of the change in terms of total expenditures by consumers. When the price of a commodity goes up or down it is usual to expect consumption of that commodity to go down or up, respectively, as a result. In fact, most of us frequently make such choices every time we go the supermarket. Price indexes are produced to provide government, business, and individuals a measure to compare prices over time and make informed decisions on economic behavior. Many believe changes in the Consumer Price Index reflects changes in their standard of living. Because the CPI is a modified Laspeyres index and keeps quantities fixed between revisions, it is a measure of price change not a true","author":[{"family":"Schmidt","given":"Mary Lynn"},{"family":"Statistics","given":"Bureau Of Labor"}]}}],"schema":"https://github.com/citation-style-language/schema/raw/master/csl-citation.json"} </w:instrText>
      </w:r>
      <w:r w:rsidRPr="0094229F">
        <w:rPr>
          <w:rFonts w:ascii="Times New Roman" w:hAnsi="Times New Roman" w:cs="Times New Roman"/>
          <w:sz w:val="24"/>
          <w:szCs w:val="24"/>
        </w:rPr>
        <w:fldChar w:fldCharType="separate"/>
      </w:r>
      <w:r w:rsidRPr="0094229F">
        <w:rPr>
          <w:rFonts w:ascii="Times New Roman" w:hAnsi="Times New Roman" w:cs="Times New Roman"/>
          <w:sz w:val="24"/>
          <w:szCs w:val="24"/>
        </w:rPr>
        <w:t>(1995)</w:t>
      </w:r>
      <w:r w:rsidRPr="0094229F">
        <w:rPr>
          <w:rFonts w:ascii="Times New Roman" w:hAnsi="Times New Roman" w:cs="Times New Roman"/>
          <w:sz w:val="24"/>
          <w:szCs w:val="24"/>
        </w:rPr>
        <w:fldChar w:fldCharType="end"/>
      </w:r>
      <w:r w:rsidRPr="0094229F">
        <w:rPr>
          <w:rFonts w:ascii="Times New Roman" w:hAnsi="Times New Roman" w:cs="Times New Roman"/>
          <w:sz w:val="24"/>
          <w:szCs w:val="24"/>
        </w:rPr>
        <w:t xml:space="preserve">, the weight </w:t>
      </w:r>
      <w:r w:rsidR="00605CE5" w:rsidRPr="0094229F">
        <w:rPr>
          <w:rFonts w:ascii="Times New Roman" w:hAnsi="Times New Roman" w:cs="Times New Roman"/>
          <w:sz w:val="24"/>
          <w:szCs w:val="24"/>
        </w:rPr>
        <w:t xml:space="preserve">is an expenditure-population weight. </w:t>
      </w:r>
      <w:r w:rsidRPr="0094229F">
        <w:rPr>
          <w:rFonts w:ascii="Times New Roman" w:hAnsi="Times New Roman" w:cs="Times New Roman"/>
          <w:sz w:val="24"/>
          <w:szCs w:val="24"/>
        </w:rPr>
        <w:t xml:space="preserve">To calculate the CPI an estimate of the expenditure pattern is needed to define and weight the market basket of goods and services for which the index is computed. Each expenditure-population weight is the product of estimates of mean expenditures per consumer unit derived from the 1982-84 Consumer Expenditure Survey and estimates of the number of consumer units obtained from the 1980 census files. Mean expenditures are calculated using preliminary expenditures and their relative importance, composite estimated and raked to minimize the average mean square error of the relative importance of the total weight for the index. </w:t>
      </w:r>
      <w:r w:rsidR="00546020" w:rsidRPr="0094229F">
        <w:rPr>
          <w:rFonts w:ascii="Times New Roman" w:hAnsi="Times New Roman" w:cs="Times New Roman"/>
          <w:color w:val="5B9BD5" w:themeColor="accent1"/>
          <w:sz w:val="24"/>
          <w:szCs w:val="24"/>
        </w:rPr>
        <w:t>(</w:t>
      </w:r>
      <w:r w:rsidR="00541A15">
        <w:rPr>
          <w:rFonts w:ascii="Times New Roman" w:hAnsi="Times New Roman" w:cs="Times New Roman"/>
          <w:color w:val="5B9BD5" w:themeColor="accent1"/>
          <w:sz w:val="24"/>
          <w:szCs w:val="24"/>
        </w:rPr>
        <w:t>E</w:t>
      </w:r>
      <w:r w:rsidR="00546020" w:rsidRPr="0094229F">
        <w:rPr>
          <w:rFonts w:ascii="Times New Roman" w:hAnsi="Times New Roman" w:cs="Times New Roman"/>
          <w:color w:val="5B9BD5" w:themeColor="accent1"/>
          <w:sz w:val="24"/>
          <w:szCs w:val="24"/>
        </w:rPr>
        <w:t>xpenditure-population weight)</w:t>
      </w:r>
    </w:p>
    <w:p w:rsidR="00CF6212" w:rsidRPr="0094229F" w:rsidRDefault="00CF6212" w:rsidP="00CF6212">
      <w:pPr>
        <w:autoSpaceDE w:val="0"/>
        <w:autoSpaceDN w:val="0"/>
        <w:adjustRightInd w:val="0"/>
        <w:spacing w:after="0" w:line="240" w:lineRule="auto"/>
        <w:rPr>
          <w:rFonts w:ascii="Times New Roman" w:hAnsi="Times New Roman" w:cs="Times New Roman"/>
          <w:sz w:val="24"/>
          <w:szCs w:val="24"/>
          <w:shd w:val="clear" w:color="auto" w:fill="FFFFFF"/>
          <w:vertAlign w:val="subscript"/>
        </w:rPr>
      </w:pPr>
    </w:p>
    <w:p w:rsidR="00546020" w:rsidRPr="0094229F" w:rsidRDefault="00546020" w:rsidP="00546020">
      <w:pPr>
        <w:rPr>
          <w:rStyle w:val="A2"/>
          <w:rFonts w:ascii="Times New Roman" w:hAnsi="Times New Roman" w:cs="Times New Roman"/>
          <w:sz w:val="24"/>
          <w:szCs w:val="24"/>
        </w:rPr>
      </w:pPr>
      <w:r w:rsidRPr="0094229F">
        <w:rPr>
          <w:rStyle w:val="A2"/>
          <w:rFonts w:ascii="Times New Roman" w:hAnsi="Times New Roman" w:cs="Times New Roman"/>
          <w:sz w:val="24"/>
          <w:szCs w:val="24"/>
        </w:rPr>
        <w:t xml:space="preserve">Each consumer unit in the survey is assigned a weight that is the number of similar consumer units in the U.S. civilian </w:t>
      </w:r>
      <w:proofErr w:type="spellStart"/>
      <w:r w:rsidRPr="0094229F">
        <w:rPr>
          <w:rStyle w:val="A2"/>
          <w:rFonts w:ascii="Times New Roman" w:hAnsi="Times New Roman" w:cs="Times New Roman"/>
          <w:sz w:val="24"/>
          <w:szCs w:val="24"/>
        </w:rPr>
        <w:t>noninstitutional</w:t>
      </w:r>
      <w:proofErr w:type="spellEnd"/>
      <w:r w:rsidRPr="0094229F">
        <w:rPr>
          <w:rStyle w:val="A2"/>
          <w:rFonts w:ascii="Times New Roman" w:hAnsi="Times New Roman" w:cs="Times New Roman"/>
          <w:sz w:val="24"/>
          <w:szCs w:val="24"/>
        </w:rPr>
        <w:t xml:space="preserve"> population the sampled consumer unit represents. Using these weights, the average expenditure per consumer unit on a particular item category is estimated with the formula</w:t>
      </w:r>
      <w:r w:rsidR="00541A15">
        <w:rPr>
          <w:rStyle w:val="FootnoteReference"/>
          <w:rFonts w:ascii="Times New Roman" w:hAnsi="Times New Roman" w:cs="Times New Roman"/>
          <w:color w:val="000000"/>
          <w:sz w:val="24"/>
          <w:szCs w:val="24"/>
        </w:rPr>
        <w:footnoteReference w:id="3"/>
      </w:r>
      <w:r w:rsidRPr="0094229F">
        <w:rPr>
          <w:rStyle w:val="A2"/>
          <w:rFonts w:ascii="Times New Roman" w:hAnsi="Times New Roman" w:cs="Times New Roman"/>
          <w:sz w:val="24"/>
          <w:szCs w:val="24"/>
        </w:rPr>
        <w:t>:</w:t>
      </w:r>
    </w:p>
    <w:p w:rsidR="00546020" w:rsidRPr="0094229F" w:rsidRDefault="00546020" w:rsidP="00546020">
      <w:pPr>
        <w:rPr>
          <w:rStyle w:val="A2"/>
          <w:rFonts w:ascii="Times New Roman" w:hAnsi="Times New Roman" w:cs="Times New Roman"/>
          <w:sz w:val="24"/>
          <w:szCs w:val="24"/>
        </w:rPr>
      </w:pPr>
    </w:p>
    <w:p w:rsidR="00546020" w:rsidRPr="0094229F" w:rsidRDefault="00546020" w:rsidP="00546020">
      <w:pPr>
        <w:rPr>
          <w:rStyle w:val="A2"/>
          <w:rFonts w:ascii="Times New Roman" w:hAnsi="Times New Roman" w:cs="Times New Roman"/>
          <w:sz w:val="24"/>
          <w:szCs w:val="24"/>
        </w:rPr>
      </w:pPr>
      <m:oMathPara>
        <m:oMath>
          <m:bar>
            <m:barPr>
              <m:pos m:val="top"/>
              <m:ctrlPr>
                <w:rPr>
                  <w:rStyle w:val="A2"/>
                  <w:rFonts w:ascii="Cambria Math" w:hAnsi="Cambria Math" w:cs="Times New Roman"/>
                  <w:sz w:val="24"/>
                  <w:szCs w:val="24"/>
                </w:rPr>
              </m:ctrlPr>
            </m:barPr>
            <m:e>
              <m:r>
                <w:rPr>
                  <w:rStyle w:val="A2"/>
                  <w:rFonts w:ascii="Cambria Math" w:hAnsi="Cambria Math" w:cs="Times New Roman"/>
                  <w:sz w:val="24"/>
                  <w:szCs w:val="24"/>
                </w:rPr>
                <m:t>y</m:t>
              </m:r>
            </m:e>
          </m:bar>
          <m:r>
            <w:rPr>
              <w:rStyle w:val="A2"/>
              <w:rFonts w:ascii="Cambria Math" w:hAnsi="Cambria Math" w:cs="Times New Roman"/>
              <w:sz w:val="24"/>
              <w:szCs w:val="24"/>
            </w:rPr>
            <m:t>=</m:t>
          </m:r>
          <m:f>
            <m:fPr>
              <m:ctrlPr>
                <w:rPr>
                  <w:rStyle w:val="A2"/>
                  <w:rFonts w:ascii="Cambria Math" w:hAnsi="Cambria Math" w:cs="Times New Roman"/>
                  <w:i/>
                  <w:sz w:val="24"/>
                  <w:szCs w:val="24"/>
                </w:rPr>
              </m:ctrlPr>
            </m:fPr>
            <m:num>
              <m:nary>
                <m:naryPr>
                  <m:chr m:val="∑"/>
                  <m:limLoc m:val="subSup"/>
                  <m:supHide m:val="1"/>
                  <m:ctrlPr>
                    <w:rPr>
                      <w:rStyle w:val="A2"/>
                      <w:rFonts w:ascii="Cambria Math" w:hAnsi="Cambria Math" w:cs="Times New Roman"/>
                      <w:i/>
                      <w:sz w:val="24"/>
                      <w:szCs w:val="24"/>
                    </w:rPr>
                  </m:ctrlPr>
                </m:naryPr>
                <m:sub>
                  <m:r>
                    <w:rPr>
                      <w:rStyle w:val="A2"/>
                      <w:rFonts w:ascii="Cambria Math" w:hAnsi="Cambria Math" w:cs="Times New Roman"/>
                      <w:sz w:val="24"/>
                      <w:szCs w:val="24"/>
                    </w:rPr>
                    <m:t>i</m:t>
                  </m:r>
                </m:sub>
                <m:sup/>
                <m:e>
                  <m:sSub>
                    <m:sSubPr>
                      <m:ctrlPr>
                        <w:rPr>
                          <w:rStyle w:val="A2"/>
                          <w:rFonts w:ascii="Cambria Math" w:hAnsi="Cambria Math" w:cs="Times New Roman"/>
                          <w:i/>
                          <w:sz w:val="24"/>
                          <w:szCs w:val="24"/>
                        </w:rPr>
                      </m:ctrlPr>
                    </m:sSubPr>
                    <m:e>
                      <m:r>
                        <w:rPr>
                          <w:rStyle w:val="A2"/>
                          <w:rFonts w:ascii="Cambria Math" w:hAnsi="Cambria Math" w:cs="Times New Roman"/>
                          <w:sz w:val="24"/>
                          <w:szCs w:val="24"/>
                        </w:rPr>
                        <m:t>w</m:t>
                      </m:r>
                    </m:e>
                    <m:sub>
                      <m:r>
                        <w:rPr>
                          <w:rStyle w:val="A2"/>
                          <w:rFonts w:ascii="Cambria Math" w:hAnsi="Cambria Math" w:cs="Times New Roman"/>
                          <w:sz w:val="24"/>
                          <w:szCs w:val="24"/>
                        </w:rPr>
                        <m:t>i</m:t>
                      </m:r>
                    </m:sub>
                  </m:sSub>
                  <m:sSub>
                    <m:sSubPr>
                      <m:ctrlPr>
                        <w:rPr>
                          <w:rStyle w:val="A2"/>
                          <w:rFonts w:ascii="Cambria Math" w:hAnsi="Cambria Math" w:cs="Times New Roman"/>
                          <w:i/>
                          <w:sz w:val="24"/>
                          <w:szCs w:val="24"/>
                        </w:rPr>
                      </m:ctrlPr>
                    </m:sSubPr>
                    <m:e>
                      <m:r>
                        <w:rPr>
                          <w:rStyle w:val="A2"/>
                          <w:rFonts w:ascii="Cambria Math" w:hAnsi="Cambria Math" w:cs="Times New Roman"/>
                          <w:sz w:val="24"/>
                          <w:szCs w:val="24"/>
                        </w:rPr>
                        <m:t>y</m:t>
                      </m:r>
                    </m:e>
                    <m:sub>
                      <m:r>
                        <w:rPr>
                          <w:rStyle w:val="A2"/>
                          <w:rFonts w:ascii="Cambria Math" w:hAnsi="Cambria Math" w:cs="Times New Roman"/>
                          <w:sz w:val="24"/>
                          <w:szCs w:val="24"/>
                        </w:rPr>
                        <m:t>i</m:t>
                      </m:r>
                    </m:sub>
                  </m:sSub>
                </m:e>
              </m:nary>
            </m:num>
            <m:den>
              <m:nary>
                <m:naryPr>
                  <m:chr m:val="∑"/>
                  <m:limLoc m:val="subSup"/>
                  <m:supHide m:val="1"/>
                  <m:ctrlPr>
                    <w:rPr>
                      <w:rStyle w:val="A2"/>
                      <w:rFonts w:ascii="Cambria Math" w:hAnsi="Cambria Math" w:cs="Times New Roman"/>
                      <w:i/>
                      <w:sz w:val="24"/>
                      <w:szCs w:val="24"/>
                    </w:rPr>
                  </m:ctrlPr>
                </m:naryPr>
                <m:sub>
                  <m:r>
                    <w:rPr>
                      <w:rStyle w:val="A2"/>
                      <w:rFonts w:ascii="Cambria Math" w:hAnsi="Cambria Math" w:cs="Times New Roman"/>
                      <w:sz w:val="24"/>
                      <w:szCs w:val="24"/>
                    </w:rPr>
                    <m:t>i</m:t>
                  </m:r>
                </m:sub>
                <m:sup/>
                <m:e>
                  <m:sSub>
                    <m:sSubPr>
                      <m:ctrlPr>
                        <w:rPr>
                          <w:rStyle w:val="A2"/>
                          <w:rFonts w:ascii="Cambria Math" w:hAnsi="Cambria Math" w:cs="Times New Roman"/>
                          <w:i/>
                          <w:sz w:val="24"/>
                          <w:szCs w:val="24"/>
                        </w:rPr>
                      </m:ctrlPr>
                    </m:sSubPr>
                    <m:e>
                      <m:r>
                        <w:rPr>
                          <w:rStyle w:val="A2"/>
                          <w:rFonts w:ascii="Cambria Math" w:hAnsi="Cambria Math" w:cs="Times New Roman"/>
                          <w:sz w:val="24"/>
                          <w:szCs w:val="24"/>
                        </w:rPr>
                        <m:t>w</m:t>
                      </m:r>
                    </m:e>
                    <m:sub>
                      <m:r>
                        <w:rPr>
                          <w:rStyle w:val="A2"/>
                          <w:rFonts w:ascii="Cambria Math" w:hAnsi="Cambria Math" w:cs="Times New Roman"/>
                          <w:sz w:val="24"/>
                          <w:szCs w:val="24"/>
                        </w:rPr>
                        <m:t>i</m:t>
                      </m:r>
                    </m:sub>
                  </m:sSub>
                </m:e>
              </m:nary>
            </m:den>
          </m:f>
        </m:oMath>
      </m:oMathPara>
    </w:p>
    <w:p w:rsidR="00546020" w:rsidRPr="0094229F" w:rsidRDefault="00546020" w:rsidP="00546020">
      <w:pPr>
        <w:rPr>
          <w:rStyle w:val="A2"/>
          <w:rFonts w:ascii="Times New Roman" w:hAnsi="Times New Roman" w:cs="Times New Roman"/>
          <w:sz w:val="24"/>
          <w:szCs w:val="24"/>
        </w:rPr>
      </w:pPr>
      <w:proofErr w:type="gramStart"/>
      <w:r w:rsidRPr="0094229F">
        <w:rPr>
          <w:rStyle w:val="A2"/>
          <w:rFonts w:ascii="Times New Roman" w:hAnsi="Times New Roman" w:cs="Times New Roman"/>
          <w:sz w:val="24"/>
          <w:szCs w:val="24"/>
        </w:rPr>
        <w:t>where</w:t>
      </w:r>
      <w:proofErr w:type="gramEnd"/>
      <w:r w:rsidRPr="0094229F">
        <w:rPr>
          <w:rStyle w:val="A2"/>
          <w:rFonts w:ascii="Times New Roman" w:hAnsi="Times New Roman" w:cs="Times New Roman"/>
          <w:sz w:val="24"/>
          <w:szCs w:val="24"/>
        </w:rPr>
        <w:t xml:space="preserve"> </w:t>
      </w:r>
    </w:p>
    <w:p w:rsidR="00546020" w:rsidRPr="0094229F" w:rsidRDefault="00546020" w:rsidP="00546020">
      <w:pPr>
        <w:rPr>
          <w:rFonts w:ascii="Times New Roman" w:hAnsi="Times New Roman" w:cs="Times New Roman"/>
          <w:color w:val="000000"/>
          <w:sz w:val="24"/>
          <w:szCs w:val="24"/>
        </w:rPr>
      </w:pPr>
      <m:oMath>
        <m:bar>
          <m:barPr>
            <m:pos m:val="top"/>
            <m:ctrlPr>
              <w:rPr>
                <w:rFonts w:ascii="Cambria Math" w:hAnsi="Cambria Math" w:cs="Times New Roman"/>
                <w:color w:val="000000"/>
                <w:sz w:val="24"/>
                <w:szCs w:val="24"/>
              </w:rPr>
            </m:ctrlPr>
          </m:barPr>
          <m:e>
            <m:r>
              <w:rPr>
                <w:rFonts w:ascii="Cambria Math" w:hAnsi="Cambria Math" w:cs="Times New Roman"/>
                <w:color w:val="000000"/>
                <w:sz w:val="24"/>
                <w:szCs w:val="24"/>
              </w:rPr>
              <m:t>y</m:t>
            </m:r>
          </m:e>
        </m:bar>
      </m:oMath>
      <w:r w:rsidRPr="0094229F">
        <w:rPr>
          <w:rFonts w:ascii="Times New Roman" w:hAnsi="Times New Roman" w:cs="Times New Roman"/>
          <w:color w:val="000000"/>
          <w:sz w:val="24"/>
          <w:szCs w:val="24"/>
        </w:rPr>
        <w:t xml:space="preserve"> = the average expenditure per consumer unit on the item category,</w:t>
      </w:r>
    </w:p>
    <w:p w:rsidR="00546020" w:rsidRPr="0094229F" w:rsidRDefault="00546020" w:rsidP="00546020">
      <w:pPr>
        <w:rPr>
          <w:rFonts w:ascii="Times New Roman" w:hAnsi="Times New Roman" w:cs="Times New Roman"/>
          <w:color w:val="000000"/>
          <w:sz w:val="24"/>
          <w:szCs w:val="24"/>
        </w:rPr>
      </w:pPr>
      <w:proofErr w:type="spellStart"/>
      <w:proofErr w:type="gramStart"/>
      <w:r w:rsidRPr="0094229F">
        <w:rPr>
          <w:rFonts w:ascii="Times New Roman" w:hAnsi="Times New Roman" w:cs="Times New Roman"/>
          <w:i/>
          <w:color w:val="000000"/>
          <w:sz w:val="24"/>
          <w:szCs w:val="24"/>
        </w:rPr>
        <w:t>y</w:t>
      </w:r>
      <w:r w:rsidRPr="0094229F">
        <w:rPr>
          <w:rFonts w:ascii="Times New Roman" w:hAnsi="Times New Roman" w:cs="Times New Roman"/>
          <w:i/>
          <w:color w:val="000000"/>
          <w:sz w:val="24"/>
          <w:szCs w:val="24"/>
          <w:vertAlign w:val="subscript"/>
        </w:rPr>
        <w:t>i</w:t>
      </w:r>
      <w:proofErr w:type="spellEnd"/>
      <w:proofErr w:type="gramEnd"/>
      <w:r w:rsidRPr="0094229F">
        <w:rPr>
          <w:rFonts w:ascii="Times New Roman" w:hAnsi="Times New Roman" w:cs="Times New Roman"/>
          <w:i/>
          <w:color w:val="000000"/>
          <w:sz w:val="24"/>
          <w:szCs w:val="24"/>
        </w:rPr>
        <w:t xml:space="preserve"> </w:t>
      </w:r>
      <w:r w:rsidRPr="0094229F">
        <w:rPr>
          <w:rFonts w:ascii="Times New Roman" w:hAnsi="Times New Roman" w:cs="Times New Roman"/>
          <w:color w:val="000000"/>
          <w:sz w:val="24"/>
          <w:szCs w:val="24"/>
        </w:rPr>
        <w:t xml:space="preserve">= the expenditure made by the </w:t>
      </w:r>
      <w:proofErr w:type="spellStart"/>
      <w:r w:rsidRPr="0094229F">
        <w:rPr>
          <w:rFonts w:ascii="Times New Roman" w:hAnsi="Times New Roman" w:cs="Times New Roman"/>
          <w:i/>
          <w:iCs/>
          <w:color w:val="000000"/>
          <w:sz w:val="24"/>
          <w:szCs w:val="24"/>
        </w:rPr>
        <w:t>ith</w:t>
      </w:r>
      <w:proofErr w:type="spellEnd"/>
      <w:r w:rsidRPr="0094229F">
        <w:rPr>
          <w:rFonts w:ascii="Times New Roman" w:hAnsi="Times New Roman" w:cs="Times New Roman"/>
          <w:i/>
          <w:iCs/>
          <w:color w:val="000000"/>
          <w:sz w:val="24"/>
          <w:szCs w:val="24"/>
        </w:rPr>
        <w:t xml:space="preserve"> </w:t>
      </w:r>
      <w:r w:rsidRPr="0094229F">
        <w:rPr>
          <w:rFonts w:ascii="Times New Roman" w:hAnsi="Times New Roman" w:cs="Times New Roman"/>
          <w:color w:val="000000"/>
          <w:sz w:val="24"/>
          <w:szCs w:val="24"/>
        </w:rPr>
        <w:t xml:space="preserve">consumer unit on the item category,  </w:t>
      </w:r>
    </w:p>
    <w:p w:rsidR="00546020" w:rsidRPr="0094229F" w:rsidRDefault="00546020" w:rsidP="00546020">
      <w:pPr>
        <w:rPr>
          <w:rFonts w:ascii="Times New Roman" w:hAnsi="Times New Roman" w:cs="Times New Roman"/>
          <w:color w:val="000000"/>
          <w:sz w:val="24"/>
          <w:szCs w:val="24"/>
        </w:rPr>
      </w:pPr>
      <w:proofErr w:type="spellStart"/>
      <w:proofErr w:type="gramStart"/>
      <w:r w:rsidRPr="0094229F">
        <w:rPr>
          <w:rFonts w:ascii="Times New Roman" w:hAnsi="Times New Roman" w:cs="Times New Roman"/>
          <w:i/>
          <w:color w:val="000000"/>
          <w:sz w:val="24"/>
          <w:szCs w:val="24"/>
        </w:rPr>
        <w:t>w</w:t>
      </w:r>
      <w:r w:rsidRPr="0094229F">
        <w:rPr>
          <w:rFonts w:ascii="Times New Roman" w:hAnsi="Times New Roman" w:cs="Times New Roman"/>
          <w:i/>
          <w:color w:val="000000"/>
          <w:sz w:val="24"/>
          <w:szCs w:val="24"/>
          <w:vertAlign w:val="subscript"/>
        </w:rPr>
        <w:t>i</w:t>
      </w:r>
      <w:proofErr w:type="spellEnd"/>
      <w:proofErr w:type="gramEnd"/>
      <w:r w:rsidRPr="0094229F">
        <w:rPr>
          <w:rFonts w:ascii="Times New Roman" w:hAnsi="Times New Roman" w:cs="Times New Roman"/>
          <w:color w:val="000000"/>
          <w:sz w:val="24"/>
          <w:szCs w:val="24"/>
        </w:rPr>
        <w:t xml:space="preserve"> = the weight of the </w:t>
      </w:r>
      <w:proofErr w:type="spellStart"/>
      <w:r w:rsidRPr="0094229F">
        <w:rPr>
          <w:rFonts w:ascii="Times New Roman" w:hAnsi="Times New Roman" w:cs="Times New Roman"/>
          <w:i/>
          <w:iCs/>
          <w:color w:val="000000"/>
          <w:sz w:val="24"/>
          <w:szCs w:val="24"/>
        </w:rPr>
        <w:t>i</w:t>
      </w:r>
      <w:r w:rsidRPr="0094229F">
        <w:rPr>
          <w:rFonts w:ascii="Times New Roman" w:hAnsi="Times New Roman" w:cs="Times New Roman"/>
          <w:i/>
          <w:iCs/>
          <w:color w:val="000000"/>
          <w:sz w:val="24"/>
          <w:szCs w:val="24"/>
          <w:vertAlign w:val="superscript"/>
        </w:rPr>
        <w:t>th</w:t>
      </w:r>
      <w:proofErr w:type="spellEnd"/>
      <w:r w:rsidRPr="0094229F">
        <w:rPr>
          <w:rFonts w:ascii="Times New Roman" w:hAnsi="Times New Roman" w:cs="Times New Roman"/>
          <w:i/>
          <w:iCs/>
          <w:color w:val="000000"/>
          <w:sz w:val="24"/>
          <w:szCs w:val="24"/>
        </w:rPr>
        <w:t xml:space="preserve"> </w:t>
      </w:r>
      <w:r w:rsidRPr="0094229F">
        <w:rPr>
          <w:rFonts w:ascii="Times New Roman" w:hAnsi="Times New Roman" w:cs="Times New Roman"/>
          <w:color w:val="000000"/>
          <w:sz w:val="24"/>
          <w:szCs w:val="24"/>
        </w:rPr>
        <w:t>consumer unit in the sample, and</w:t>
      </w:r>
    </w:p>
    <w:p w:rsidR="00546020" w:rsidRPr="0094229F" w:rsidRDefault="00546020" w:rsidP="00546020">
      <w:pPr>
        <w:rPr>
          <w:rStyle w:val="A2"/>
          <w:rFonts w:ascii="Times New Roman" w:hAnsi="Times New Roman" w:cs="Times New Roman"/>
          <w:sz w:val="24"/>
          <w:szCs w:val="24"/>
        </w:rPr>
      </w:pPr>
      <w:r w:rsidRPr="0094229F">
        <w:rPr>
          <w:rStyle w:val="A2"/>
          <w:rFonts w:ascii="Times New Roman" w:hAnsi="Times New Roman" w:cs="Times New Roman"/>
          <w:i/>
          <w:iCs/>
          <w:sz w:val="24"/>
          <w:szCs w:val="24"/>
        </w:rPr>
        <w:t xml:space="preserve">S </w:t>
      </w:r>
      <w:r w:rsidRPr="0094229F">
        <w:rPr>
          <w:rStyle w:val="A2"/>
          <w:rFonts w:ascii="Times New Roman" w:hAnsi="Times New Roman" w:cs="Times New Roman"/>
          <w:sz w:val="24"/>
          <w:szCs w:val="24"/>
        </w:rPr>
        <w:t>= the sample of consumer units that participated in the survey.</w:t>
      </w:r>
    </w:p>
    <w:p w:rsidR="002D2DC6" w:rsidRPr="0094229F" w:rsidRDefault="002D2DC6" w:rsidP="002D2DC6">
      <w:pPr>
        <w:rPr>
          <w:rFonts w:ascii="Times New Roman" w:hAnsi="Times New Roman" w:cs="Times New Roman"/>
          <w:sz w:val="24"/>
          <w:szCs w:val="24"/>
          <w:shd w:val="clear" w:color="auto" w:fill="FFFFFF"/>
        </w:rPr>
      </w:pPr>
    </w:p>
    <w:p w:rsidR="002D2DC6" w:rsidRPr="00541A15" w:rsidRDefault="00541A15" w:rsidP="002D2DC6">
      <w:pPr>
        <w:outlineLvl w:val="0"/>
        <w:rPr>
          <w:rFonts w:ascii="Times New Roman" w:hAnsi="Times New Roman" w:cs="Times New Roman"/>
          <w:sz w:val="24"/>
          <w:szCs w:val="24"/>
        </w:rPr>
      </w:pPr>
      <w:r>
        <w:rPr>
          <w:rFonts w:ascii="Times New Roman" w:hAnsi="Times New Roman" w:cs="Times New Roman"/>
          <w:b/>
          <w:sz w:val="24"/>
          <w:szCs w:val="24"/>
          <w:shd w:val="clear" w:color="auto" w:fill="FFFFFF"/>
        </w:rPr>
        <w:t>3</w:t>
      </w:r>
      <w:r w:rsidR="002D2DC6" w:rsidRPr="0094229F">
        <w:rPr>
          <w:rFonts w:ascii="Times New Roman" w:hAnsi="Times New Roman" w:cs="Times New Roman"/>
          <w:b/>
          <w:sz w:val="24"/>
          <w:szCs w:val="24"/>
          <w:shd w:val="clear" w:color="auto" w:fill="FFFFFF"/>
        </w:rPr>
        <w:t>. How does BLS decide certain quote are included in maker basket or not?</w:t>
      </w:r>
    </w:p>
    <w:p w:rsidR="00C17729" w:rsidRPr="0094229F" w:rsidRDefault="00605CE5" w:rsidP="00541A15">
      <w:pPr>
        <w:shd w:val="clear" w:color="auto" w:fill="FFFFFF"/>
        <w:spacing w:after="240" w:line="240" w:lineRule="auto"/>
        <w:rPr>
          <w:rFonts w:ascii="Times New Roman" w:hAnsi="Times New Roman" w:cs="Times New Roman"/>
          <w:color w:val="333333"/>
          <w:sz w:val="24"/>
          <w:szCs w:val="24"/>
          <w:shd w:val="clear" w:color="auto" w:fill="FFFFFF"/>
        </w:rPr>
      </w:pPr>
      <w:r w:rsidRPr="0094229F">
        <w:rPr>
          <w:rFonts w:ascii="Times New Roman" w:hAnsi="Times New Roman" w:cs="Times New Roman"/>
          <w:color w:val="333333"/>
          <w:sz w:val="24"/>
          <w:szCs w:val="24"/>
          <w:shd w:val="clear" w:color="auto" w:fill="FFFFFF"/>
        </w:rPr>
        <w:t xml:space="preserve">In frequent asked questions for CPI, BLS answers how </w:t>
      </w:r>
      <w:r w:rsidR="00C17729" w:rsidRPr="0094229F">
        <w:rPr>
          <w:rFonts w:ascii="Times New Roman" w:hAnsi="Times New Roman" w:cs="Times New Roman"/>
          <w:color w:val="333333"/>
          <w:sz w:val="24"/>
          <w:szCs w:val="24"/>
          <w:shd w:val="clear" w:color="auto" w:fill="FFFFFF"/>
        </w:rPr>
        <w:t xml:space="preserve">to determine </w:t>
      </w:r>
      <w:r w:rsidRPr="0094229F">
        <w:rPr>
          <w:rFonts w:ascii="Times New Roman" w:hAnsi="Times New Roman" w:cs="Times New Roman"/>
          <w:color w:val="333333"/>
          <w:sz w:val="24"/>
          <w:szCs w:val="24"/>
          <w:shd w:val="clear" w:color="auto" w:fill="FFFFFF"/>
        </w:rPr>
        <w:t xml:space="preserve">the </w:t>
      </w:r>
      <w:r w:rsidR="00C17729" w:rsidRPr="0094229F">
        <w:rPr>
          <w:rFonts w:ascii="Times New Roman" w:hAnsi="Times New Roman" w:cs="Times New Roman"/>
          <w:color w:val="333333"/>
          <w:sz w:val="24"/>
          <w:szCs w:val="24"/>
          <w:shd w:val="clear" w:color="auto" w:fill="FFFFFF"/>
        </w:rPr>
        <w:t>market basket</w:t>
      </w:r>
      <w:r w:rsidR="00C17729" w:rsidRPr="0094229F">
        <w:rPr>
          <w:rStyle w:val="FootnoteReference"/>
          <w:rFonts w:ascii="Times New Roman" w:hAnsi="Times New Roman" w:cs="Times New Roman"/>
          <w:color w:val="333333"/>
          <w:sz w:val="24"/>
          <w:szCs w:val="24"/>
          <w:shd w:val="clear" w:color="auto" w:fill="FFFFFF"/>
        </w:rPr>
        <w:footnoteReference w:id="4"/>
      </w:r>
      <w:r w:rsidR="00C17729" w:rsidRPr="0094229F">
        <w:rPr>
          <w:rFonts w:ascii="Times New Roman" w:hAnsi="Times New Roman" w:cs="Times New Roman"/>
          <w:color w:val="333333"/>
          <w:sz w:val="24"/>
          <w:szCs w:val="24"/>
          <w:shd w:val="clear" w:color="auto" w:fill="FFFFFF"/>
        </w:rPr>
        <w:t xml:space="preserve">. </w:t>
      </w:r>
      <w:r w:rsidR="00C17729" w:rsidRPr="0094229F">
        <w:rPr>
          <w:rFonts w:ascii="Times New Roman" w:hAnsi="Times New Roman" w:cs="Times New Roman"/>
          <w:color w:val="333333"/>
          <w:sz w:val="24"/>
          <w:szCs w:val="24"/>
          <w:shd w:val="clear" w:color="auto" w:fill="FFFFFF"/>
        </w:rPr>
        <w:t>The CPI market basket is developed from detailed expenditure information provided by families and individuals on what they actually bought. For the current CPI, this information was collected from the Consumer Expenditure Surveys for 2011 and 2012. In each of those years, about 7,000 families from around the country provided information each quarter on their spending habits in the interview survey. To collect information on frequently purchased items, such as food and personal care products, another 7,000 families in each of these years kept diaries listing everything they bought during a 2-week period.</w:t>
      </w:r>
    </w:p>
    <w:p w:rsidR="002D2DC6" w:rsidRPr="0094229F" w:rsidRDefault="00C17729" w:rsidP="00541A15">
      <w:pPr>
        <w:spacing w:line="240" w:lineRule="auto"/>
        <w:rPr>
          <w:rFonts w:ascii="Times New Roman" w:hAnsi="Times New Roman" w:cs="Times New Roman"/>
          <w:color w:val="5B9BD5" w:themeColor="accent1"/>
          <w:sz w:val="24"/>
          <w:szCs w:val="24"/>
          <w:shd w:val="clear" w:color="auto" w:fill="FFFFFF"/>
        </w:rPr>
      </w:pPr>
      <w:r w:rsidRPr="0094229F">
        <w:rPr>
          <w:rFonts w:ascii="Times New Roman" w:hAnsi="Times New Roman" w:cs="Times New Roman"/>
          <w:color w:val="333333"/>
          <w:sz w:val="24"/>
          <w:szCs w:val="24"/>
          <w:shd w:val="clear" w:color="auto" w:fill="FFFFFF"/>
        </w:rPr>
        <w:t xml:space="preserve">Over the 2 year period, then, expenditure information came from approximately 28,000 weekly diaries and 60,000 quarterly interviews used to determine the importance, or weight, of the more </w:t>
      </w:r>
      <w:r w:rsidRPr="0094229F">
        <w:rPr>
          <w:rFonts w:ascii="Times New Roman" w:hAnsi="Times New Roman" w:cs="Times New Roman"/>
          <w:color w:val="333333"/>
          <w:sz w:val="24"/>
          <w:szCs w:val="24"/>
          <w:shd w:val="clear" w:color="auto" w:fill="FFFFFF"/>
        </w:rPr>
        <w:lastRenderedPageBreak/>
        <w:t>than 200 item categories in the CPI index structure.</w:t>
      </w:r>
      <w:r w:rsidRPr="0094229F">
        <w:rPr>
          <w:rFonts w:ascii="Times New Roman" w:hAnsi="Times New Roman" w:cs="Times New Roman"/>
          <w:color w:val="333333"/>
          <w:sz w:val="24"/>
          <w:szCs w:val="24"/>
          <w:shd w:val="clear" w:color="auto" w:fill="FFFFFF"/>
        </w:rPr>
        <w:t xml:space="preserve"> </w:t>
      </w:r>
      <w:r w:rsidRPr="0094229F">
        <w:rPr>
          <w:rFonts w:ascii="Times New Roman" w:hAnsi="Times New Roman" w:cs="Times New Roman"/>
          <w:color w:val="5B9BD5" w:themeColor="accent1"/>
          <w:sz w:val="24"/>
          <w:szCs w:val="24"/>
          <w:shd w:val="clear" w:color="auto" w:fill="FFFFFF"/>
        </w:rPr>
        <w:t xml:space="preserve">(Expenditure Survey is used to determine the market basket and the relative importance of items of the market basket). </w:t>
      </w:r>
    </w:p>
    <w:p w:rsidR="00B40180" w:rsidRPr="0094229F" w:rsidRDefault="00B40180" w:rsidP="00541A15">
      <w:pPr>
        <w:pStyle w:val="NormalWeb"/>
        <w:shd w:val="clear" w:color="auto" w:fill="FFFFFF"/>
        <w:spacing w:before="0" w:beforeAutospacing="0" w:after="240" w:afterAutospacing="0"/>
        <w:rPr>
          <w:color w:val="333333"/>
        </w:rPr>
      </w:pPr>
      <w:r w:rsidRPr="0094229F">
        <w:rPr>
          <w:color w:val="333333"/>
          <w:shd w:val="clear" w:color="auto" w:fill="FFFFFF"/>
        </w:rPr>
        <w:t>In frequent asked questions for CPI, BLS answers</w:t>
      </w:r>
      <w:r w:rsidRPr="0094229F">
        <w:rPr>
          <w:color w:val="333333"/>
          <w:shd w:val="clear" w:color="auto" w:fill="FFFFFF"/>
        </w:rPr>
        <w:t xml:space="preserve"> what goods and services the CPI cover</w:t>
      </w:r>
      <w:r w:rsidRPr="0094229F">
        <w:rPr>
          <w:rStyle w:val="FootnoteReference"/>
          <w:color w:val="333333"/>
          <w:shd w:val="clear" w:color="auto" w:fill="FFFFFF"/>
        </w:rPr>
        <w:footnoteReference w:id="5"/>
      </w:r>
      <w:r w:rsidRPr="0094229F">
        <w:rPr>
          <w:color w:val="333333"/>
          <w:shd w:val="clear" w:color="auto" w:fill="FFFFFF"/>
        </w:rPr>
        <w:t xml:space="preserve">. </w:t>
      </w:r>
      <w:r w:rsidRPr="0094229F">
        <w:rPr>
          <w:color w:val="333333"/>
        </w:rPr>
        <w:t xml:space="preserve">The CPI represents </w:t>
      </w:r>
      <w:r w:rsidRPr="0094229F">
        <w:rPr>
          <w:b/>
          <w:color w:val="5B9BD5" w:themeColor="accent1"/>
        </w:rPr>
        <w:t>all goods and services purchased for consumption</w:t>
      </w:r>
      <w:r w:rsidRPr="0094229F">
        <w:rPr>
          <w:color w:val="5B9BD5" w:themeColor="accent1"/>
        </w:rPr>
        <w:t xml:space="preserve"> </w:t>
      </w:r>
      <w:r w:rsidRPr="0094229F">
        <w:rPr>
          <w:color w:val="333333"/>
        </w:rPr>
        <w:t xml:space="preserve">by the reference population (U or W) BLS has classified all expenditure items into more than 200 categories, arranged into eight major groups. </w:t>
      </w:r>
      <w:r w:rsidRPr="0094229F">
        <w:rPr>
          <w:color w:val="333333"/>
        </w:rPr>
        <w:t>(</w:t>
      </w:r>
      <w:r w:rsidRPr="0094229F">
        <w:rPr>
          <w:color w:val="5B9BD5" w:themeColor="accent1"/>
        </w:rPr>
        <w:t>The BLS use “all goods and services purchased for consumption” here</w:t>
      </w:r>
      <w:proofErr w:type="gramStart"/>
      <w:r w:rsidRPr="0094229F">
        <w:rPr>
          <w:color w:val="5B9BD5" w:themeColor="accent1"/>
        </w:rPr>
        <w:t>. )</w:t>
      </w:r>
      <w:proofErr w:type="gramEnd"/>
      <w:r w:rsidRPr="0094229F">
        <w:rPr>
          <w:color w:val="5B9BD5" w:themeColor="accent1"/>
        </w:rPr>
        <w:t xml:space="preserve">. </w:t>
      </w:r>
    </w:p>
    <w:p w:rsidR="00B40180" w:rsidRPr="0094229F" w:rsidRDefault="00B40180" w:rsidP="00541A15">
      <w:pPr>
        <w:pStyle w:val="NormalWeb"/>
        <w:shd w:val="clear" w:color="auto" w:fill="FFFFFF"/>
        <w:spacing w:before="0" w:beforeAutospacing="0" w:after="240" w:afterAutospacing="0"/>
        <w:rPr>
          <w:color w:val="333333"/>
        </w:rPr>
      </w:pPr>
      <w:r w:rsidRPr="0094229F">
        <w:rPr>
          <w:color w:val="333333"/>
        </w:rPr>
        <w:t>Also included within these major groups are various government-charged user fees, such as water and sewerage charges, auto registration fees, and vehicle tolls. In addition, the CPI includes taxes (such as sales and excise taxes) that are directly associated with the prices of specific goods and services. However, the CPI excludes taxes (such as income and Social Security taxes) not directly associated with the purchase of consumer goods and services.</w:t>
      </w:r>
    </w:p>
    <w:p w:rsidR="00B40180" w:rsidRPr="0094229F" w:rsidRDefault="00B40180" w:rsidP="00541A15">
      <w:pPr>
        <w:pStyle w:val="NormalWeb"/>
        <w:shd w:val="clear" w:color="auto" w:fill="FFFFFF"/>
        <w:spacing w:before="0" w:beforeAutospacing="0" w:after="240" w:afterAutospacing="0"/>
        <w:rPr>
          <w:color w:val="333333"/>
        </w:rPr>
      </w:pPr>
      <w:r w:rsidRPr="0094229F">
        <w:rPr>
          <w:color w:val="333333"/>
        </w:rPr>
        <w:t>The CPI does not include investment items, such as stocks, bonds, real estate, and life insurance. (These items relate to savings and not to day-to-day consumption expenses.)</w:t>
      </w:r>
    </w:p>
    <w:p w:rsidR="00B40180" w:rsidRPr="0094229F" w:rsidRDefault="00B40180" w:rsidP="00541A15">
      <w:pPr>
        <w:pStyle w:val="NormalWeb"/>
        <w:shd w:val="clear" w:color="auto" w:fill="FFFFFF"/>
        <w:spacing w:before="0" w:beforeAutospacing="0" w:after="0" w:afterAutospacing="0"/>
        <w:rPr>
          <w:color w:val="333333"/>
        </w:rPr>
      </w:pPr>
      <w:r w:rsidRPr="0094229F">
        <w:rPr>
          <w:color w:val="333333"/>
        </w:rPr>
        <w:t>For each of the more than 200 item categories, using scientific statistical procedures, the Bureau has chosen samples of several hundred specific items within selected business establishments frequented by consumers to represent the thousands of varieties available in the marketplace. For example, in a given supermarket, the Bureau may choose a plastic bag of golden delicious apples, U.S. extra fancy grade, weighing 4.4 pounds to represent the</w:t>
      </w:r>
      <w:r w:rsidRPr="0094229F">
        <w:rPr>
          <w:rStyle w:val="apple-converted-space"/>
          <w:color w:val="333333"/>
        </w:rPr>
        <w:t> </w:t>
      </w:r>
      <w:r w:rsidRPr="0094229F">
        <w:rPr>
          <w:rStyle w:val="Emphasis"/>
          <w:color w:val="333333"/>
        </w:rPr>
        <w:t>Apples</w:t>
      </w:r>
      <w:r w:rsidRPr="0094229F">
        <w:rPr>
          <w:rStyle w:val="apple-converted-space"/>
          <w:color w:val="333333"/>
        </w:rPr>
        <w:t> </w:t>
      </w:r>
      <w:r w:rsidRPr="0094229F">
        <w:rPr>
          <w:color w:val="333333"/>
        </w:rPr>
        <w:t>category.</w:t>
      </w:r>
    </w:p>
    <w:p w:rsidR="00541A15" w:rsidRDefault="00541A15" w:rsidP="00541A15">
      <w:pPr>
        <w:autoSpaceDE w:val="0"/>
        <w:autoSpaceDN w:val="0"/>
        <w:adjustRightInd w:val="0"/>
        <w:spacing w:after="0" w:line="240" w:lineRule="auto"/>
        <w:rPr>
          <w:rFonts w:ascii="Times New Roman" w:hAnsi="Times New Roman" w:cs="Times New Roman"/>
          <w:color w:val="231F20"/>
          <w:sz w:val="24"/>
          <w:szCs w:val="24"/>
        </w:rPr>
      </w:pPr>
    </w:p>
    <w:p w:rsidR="00381FF2" w:rsidRPr="00541A15" w:rsidRDefault="00381FF2" w:rsidP="00541A15">
      <w:pPr>
        <w:autoSpaceDE w:val="0"/>
        <w:autoSpaceDN w:val="0"/>
        <w:adjustRightInd w:val="0"/>
        <w:spacing w:after="0" w:line="240" w:lineRule="auto"/>
        <w:rPr>
          <w:rFonts w:ascii="Times New Roman" w:hAnsi="Times New Roman" w:cs="Times New Roman"/>
          <w:color w:val="5B9BD5" w:themeColor="accent1"/>
          <w:sz w:val="24"/>
          <w:szCs w:val="24"/>
        </w:rPr>
      </w:pPr>
      <w:r w:rsidRPr="0094229F">
        <w:rPr>
          <w:rFonts w:ascii="Times New Roman" w:hAnsi="Times New Roman" w:cs="Times New Roman"/>
          <w:color w:val="231F20"/>
          <w:sz w:val="24"/>
          <w:szCs w:val="24"/>
        </w:rPr>
        <w:t xml:space="preserve">To enable the CPI to reflect changes in the marketplace, new item and outlet samples are selected each year, on a rotating basis, for approximately 25 percent of the item strata in each PSU. Each year, four regional item universes are tabulated from the 2 most recent years of CE data. Independent samples of ELIs are selected from the corresponding regional item universe for each item stratum PSU replicate scheduled for rotation that year. Within each sample PSU-replicate, each item sample is based on a systematic probability-proportional-to-size (PPS) sampling procedure, </w:t>
      </w:r>
      <w:r w:rsidRPr="00541A15">
        <w:rPr>
          <w:rFonts w:ascii="Times New Roman" w:hAnsi="Times New Roman" w:cs="Times New Roman"/>
          <w:color w:val="5B9BD5" w:themeColor="accent1"/>
          <w:sz w:val="24"/>
          <w:szCs w:val="24"/>
        </w:rPr>
        <w:t>in which each ELI has a probability of selection proportional to the CPI-U population expenditures for the region for the ELI within its stratum.</w:t>
      </w:r>
    </w:p>
    <w:p w:rsidR="00381FF2" w:rsidRPr="0094229F" w:rsidRDefault="00381FF2">
      <w:pPr>
        <w:rPr>
          <w:rFonts w:ascii="Times New Roman" w:hAnsi="Times New Roman" w:cs="Times New Roman"/>
          <w:color w:val="333333"/>
          <w:sz w:val="24"/>
          <w:szCs w:val="24"/>
          <w:shd w:val="clear" w:color="auto" w:fill="FFFFFF"/>
        </w:rPr>
      </w:pPr>
    </w:p>
    <w:p w:rsidR="004210FF" w:rsidRPr="0094229F" w:rsidRDefault="002D2DC6" w:rsidP="002D2DC6">
      <w:pPr>
        <w:outlineLvl w:val="0"/>
        <w:rPr>
          <w:rFonts w:ascii="Times New Roman" w:hAnsi="Times New Roman" w:cs="Times New Roman"/>
          <w:b/>
          <w:color w:val="333333"/>
          <w:sz w:val="24"/>
          <w:szCs w:val="24"/>
          <w:shd w:val="clear" w:color="auto" w:fill="FFFFFF"/>
        </w:rPr>
      </w:pPr>
      <w:r w:rsidRPr="0094229F">
        <w:rPr>
          <w:rFonts w:ascii="Times New Roman" w:hAnsi="Times New Roman" w:cs="Times New Roman"/>
          <w:b/>
          <w:color w:val="333333"/>
          <w:sz w:val="24"/>
          <w:szCs w:val="24"/>
          <w:shd w:val="clear" w:color="auto" w:fill="FFFFFF"/>
        </w:rPr>
        <w:t xml:space="preserve">3. </w:t>
      </w:r>
      <w:r w:rsidRPr="0094229F">
        <w:rPr>
          <w:rFonts w:ascii="Times New Roman" w:hAnsi="Times New Roman" w:cs="Times New Roman"/>
          <w:b/>
          <w:color w:val="333333"/>
          <w:sz w:val="24"/>
          <w:szCs w:val="24"/>
          <w:shd w:val="clear" w:color="auto" w:fill="FFFFFF"/>
        </w:rPr>
        <w:t>How</w:t>
      </w:r>
      <w:r w:rsidRPr="0094229F">
        <w:rPr>
          <w:rFonts w:ascii="Times New Roman" w:hAnsi="Times New Roman" w:cs="Times New Roman"/>
          <w:b/>
          <w:color w:val="333333"/>
          <w:sz w:val="24"/>
          <w:szCs w:val="24"/>
          <w:shd w:val="clear" w:color="auto" w:fill="FFFFFF"/>
        </w:rPr>
        <w:t xml:space="preserve"> does BLS get the relative importance of items?</w:t>
      </w:r>
    </w:p>
    <w:p w:rsidR="002D2DC6" w:rsidRPr="0094229F" w:rsidRDefault="00605CE5" w:rsidP="002D2DC6">
      <w:pPr>
        <w:rPr>
          <w:rFonts w:ascii="Times New Roman" w:hAnsi="Times New Roman" w:cs="Times New Roman"/>
          <w:sz w:val="24"/>
          <w:szCs w:val="24"/>
        </w:rPr>
      </w:pPr>
      <w:r w:rsidRPr="0094229F">
        <w:rPr>
          <w:rFonts w:ascii="Times New Roman" w:hAnsi="Times New Roman" w:cs="Times New Roman"/>
          <w:sz w:val="24"/>
          <w:szCs w:val="24"/>
        </w:rPr>
        <w:t xml:space="preserve">According to Schmidt </w:t>
      </w:r>
      <w:r w:rsidRPr="0094229F">
        <w:rPr>
          <w:rFonts w:ascii="Times New Roman" w:hAnsi="Times New Roman" w:cs="Times New Roman"/>
          <w:sz w:val="24"/>
          <w:szCs w:val="24"/>
        </w:rPr>
        <w:fldChar w:fldCharType="begin"/>
      </w:r>
      <w:r w:rsidR="00715E13" w:rsidRPr="0094229F">
        <w:rPr>
          <w:rFonts w:ascii="Times New Roman" w:hAnsi="Times New Roman" w:cs="Times New Roman"/>
          <w:sz w:val="24"/>
          <w:szCs w:val="24"/>
        </w:rPr>
        <w:instrText xml:space="preserve"> ADDIN ZOTERO_ITEM CSL_CITATION {"citationID":"d1n5fWT6","properties":{"formattedCitation":"(Schmidt and Statistics, n.d.)","plainCitation":"(Schmidt and Statistics, n.d.)"},"citationItems":[{"id":159,"uris":["http://zotero.org/users/1646385/items/P8R6N82M"],"uri":["http://zotero.org/users/1646385/items/P8R6N82M"],"itemData":{"id":159,"type":"book","title":"Comparing market basket changes and the CPI","source":"CiteSeer","abstract":"The views expressed are those of the author and do not necessarily represent an official position of BLS Consumer expenditures on specific items vary widely over time, consumers tend to maintain a pattern of expenditures for much longer time periods. The market basket of goods and services that make up the Consumer Price Index (CPI) is divided into seven major groups, such as food and beverages or housing. The pattern of consumer expenditures at this level changes more slowly than the components within a group. A Consumer Price Index is one of the most widely used economic indicators. It is a measure of the average change in the prices paid, in the United States, by urban consumers for a fixed market basket of goods and services. Knowing that consumers are constantly offered new items to include in their market basket, how do changing market baskets influence the CPI? The answer is not unambiguous and depends on the importance of the change in terms of total expenditures by consumers. When the price of a commodity goes up or down it is usual to expect consumption of that commodity to go down or up, respectively, as a result. In fact, most of us frequently make such choices every time we go the supermarket. Price indexes are produced to provide government, business, and individuals a measure to compare prices over time and make informed decisions on economic behavior. Many believe changes in the Consumer Price Index reflects changes in their standard of living. Because the CPI is a modified Laspeyres index and keeps quantities fixed between revisions, it is a measure of price change not a true","author":[{"family":"Schmidt","given":"Mary Lynn"},{"family":"Statistics","given":"Bureau Of Labor"}]}}],"schema":"https://github.com/citation-style-language/schema/raw/master/csl-citation.json"} </w:instrText>
      </w:r>
      <w:r w:rsidRPr="0094229F">
        <w:rPr>
          <w:rFonts w:ascii="Times New Roman" w:hAnsi="Times New Roman" w:cs="Times New Roman"/>
          <w:sz w:val="24"/>
          <w:szCs w:val="24"/>
        </w:rPr>
        <w:fldChar w:fldCharType="separate"/>
      </w:r>
      <w:r w:rsidRPr="0094229F">
        <w:rPr>
          <w:rFonts w:ascii="Times New Roman" w:hAnsi="Times New Roman" w:cs="Times New Roman"/>
          <w:sz w:val="24"/>
          <w:szCs w:val="24"/>
        </w:rPr>
        <w:t>(1995)</w:t>
      </w:r>
      <w:r w:rsidRPr="0094229F">
        <w:rPr>
          <w:rFonts w:ascii="Times New Roman" w:hAnsi="Times New Roman" w:cs="Times New Roman"/>
          <w:sz w:val="24"/>
          <w:szCs w:val="24"/>
        </w:rPr>
        <w:fldChar w:fldCharType="end"/>
      </w:r>
      <w:r w:rsidRPr="0094229F">
        <w:rPr>
          <w:rFonts w:ascii="Times New Roman" w:hAnsi="Times New Roman" w:cs="Times New Roman"/>
          <w:sz w:val="24"/>
          <w:szCs w:val="24"/>
        </w:rPr>
        <w:t xml:space="preserve">,  the relative </w:t>
      </w:r>
      <w:r w:rsidRPr="0094229F">
        <w:rPr>
          <w:rFonts w:ascii="Times New Roman" w:hAnsi="Times New Roman" w:cs="Times New Roman"/>
          <w:sz w:val="24"/>
          <w:szCs w:val="24"/>
        </w:rPr>
        <w:t>importance</w:t>
      </w:r>
      <w:r w:rsidRPr="0094229F">
        <w:rPr>
          <w:rFonts w:ascii="Times New Roman" w:hAnsi="Times New Roman" w:cs="Times New Roman"/>
          <w:sz w:val="24"/>
          <w:szCs w:val="24"/>
        </w:rPr>
        <w:t xml:space="preserve"> based on CE data refers to the ratio of expenditure of an item or a group of items to the total expenditures for all items. The patterns of expenditures at major group levels are quite similar over these time periods.</w:t>
      </w:r>
    </w:p>
    <w:p w:rsidR="00381FF2" w:rsidRPr="0094229F" w:rsidRDefault="00715E13" w:rsidP="00381FF2">
      <w:pPr>
        <w:autoSpaceDE w:val="0"/>
        <w:autoSpaceDN w:val="0"/>
        <w:adjustRightInd w:val="0"/>
        <w:spacing w:after="0" w:line="240" w:lineRule="auto"/>
        <w:rPr>
          <w:rFonts w:ascii="Times New Roman" w:hAnsi="Times New Roman" w:cs="Times New Roman"/>
          <w:sz w:val="24"/>
          <w:szCs w:val="24"/>
        </w:rPr>
      </w:pPr>
      <w:r w:rsidRPr="0094229F">
        <w:rPr>
          <w:rFonts w:ascii="Times New Roman" w:hAnsi="Times New Roman" w:cs="Times New Roman"/>
          <w:sz w:val="24"/>
          <w:szCs w:val="24"/>
        </w:rPr>
        <w:t xml:space="preserve">According to Mason and Butler </w:t>
      </w:r>
      <w:r w:rsidRPr="0094229F">
        <w:rPr>
          <w:rFonts w:ascii="Times New Roman" w:hAnsi="Times New Roman" w:cs="Times New Roman"/>
          <w:sz w:val="24"/>
          <w:szCs w:val="24"/>
        </w:rPr>
        <w:fldChar w:fldCharType="begin"/>
      </w:r>
      <w:r w:rsidRPr="0094229F">
        <w:rPr>
          <w:rFonts w:ascii="Times New Roman" w:hAnsi="Times New Roman" w:cs="Times New Roman"/>
          <w:sz w:val="24"/>
          <w:szCs w:val="24"/>
        </w:rPr>
        <w:instrText xml:space="preserve"> ADDIN ZOTERO_ITEM CSL_CITATION {"citationID":"FGKv8D1t","properties":{"formattedCitation":"(Mason and Butler 1987)","plainCitation":"(Mason and Butler 1987)"},"citationItems":[{"id":162,"uris":["http://zotero.org/users/1646385/items/WZDCIVRN"],"uri":["http://zotero.org/users/1646385/items/WZDCIVRN"],"itemData":{"id":162,"type":"article-journal","title":"New basket of goods and services being priced in revised CPI","container-title":"Monthly Labor Review","page":"3–22","source":"Google Scholar","author":[{"family":"Mason","given":"Charles"},{"family":"Butler","given":"Clifford"}],"issued":{"date-parts":[["1987"]]},"accessed":{"date-parts":[["2015",2,24]]}}}],"schema":"https://github.com/citation-style-language/schema/raw/master/csl-citation.json"} </w:instrText>
      </w:r>
      <w:r w:rsidRPr="0094229F">
        <w:rPr>
          <w:rFonts w:ascii="Times New Roman" w:hAnsi="Times New Roman" w:cs="Times New Roman"/>
          <w:sz w:val="24"/>
          <w:szCs w:val="24"/>
        </w:rPr>
        <w:fldChar w:fldCharType="separate"/>
      </w:r>
      <w:r w:rsidRPr="0094229F">
        <w:rPr>
          <w:rFonts w:ascii="Times New Roman" w:hAnsi="Times New Roman" w:cs="Times New Roman"/>
          <w:sz w:val="24"/>
          <w:szCs w:val="24"/>
        </w:rPr>
        <w:t>(1987)</w:t>
      </w:r>
      <w:r w:rsidRPr="0094229F">
        <w:rPr>
          <w:rFonts w:ascii="Times New Roman" w:hAnsi="Times New Roman" w:cs="Times New Roman"/>
          <w:sz w:val="24"/>
          <w:szCs w:val="24"/>
        </w:rPr>
        <w:fldChar w:fldCharType="end"/>
      </w:r>
      <w:r w:rsidRPr="0094229F">
        <w:rPr>
          <w:rFonts w:ascii="Times New Roman" w:hAnsi="Times New Roman" w:cs="Times New Roman"/>
          <w:sz w:val="24"/>
          <w:szCs w:val="24"/>
        </w:rPr>
        <w:t>, t</w:t>
      </w:r>
      <w:r w:rsidRPr="0094229F">
        <w:rPr>
          <w:rFonts w:ascii="Times New Roman" w:hAnsi="Times New Roman" w:cs="Times New Roman"/>
          <w:sz w:val="24"/>
          <w:szCs w:val="24"/>
        </w:rPr>
        <w:t>he expenditure weight for each item stratum is an estimate of total expenditure by the index population for that item. It is calculated as the product of estimates of mean expenditures of consumer units and the number of consumer units.</w:t>
      </w:r>
      <w:r w:rsidR="00381FF2" w:rsidRPr="0094229F">
        <w:rPr>
          <w:rFonts w:ascii="Times New Roman" w:hAnsi="Times New Roman" w:cs="Times New Roman"/>
          <w:sz w:val="24"/>
          <w:szCs w:val="24"/>
        </w:rPr>
        <w:t xml:space="preserve"> </w:t>
      </w:r>
      <w:r w:rsidR="00381FF2" w:rsidRPr="0094229F">
        <w:rPr>
          <w:rFonts w:ascii="Times New Roman" w:hAnsi="Times New Roman" w:cs="Times New Roman"/>
          <w:sz w:val="24"/>
          <w:szCs w:val="24"/>
        </w:rPr>
        <w:t>Mean expenditures are derived from 1982-84 Consumer Expenditure Survey data, and estimates of the number of</w:t>
      </w:r>
      <w:r w:rsidR="00541A15">
        <w:rPr>
          <w:rFonts w:ascii="Times New Roman" w:hAnsi="Times New Roman" w:cs="Times New Roman"/>
          <w:sz w:val="24"/>
          <w:szCs w:val="24"/>
        </w:rPr>
        <w:t xml:space="preserve"> </w:t>
      </w:r>
      <w:r w:rsidR="00381FF2" w:rsidRPr="0094229F">
        <w:rPr>
          <w:rFonts w:ascii="Times New Roman" w:hAnsi="Times New Roman" w:cs="Times New Roman"/>
          <w:sz w:val="24"/>
          <w:szCs w:val="24"/>
        </w:rPr>
        <w:t>consumer units are obtained from a special tabulation of the 1980 census files.</w:t>
      </w:r>
    </w:p>
    <w:p w:rsidR="00381FF2" w:rsidRPr="0094229F" w:rsidRDefault="00381FF2" w:rsidP="00381FF2">
      <w:pPr>
        <w:autoSpaceDE w:val="0"/>
        <w:autoSpaceDN w:val="0"/>
        <w:adjustRightInd w:val="0"/>
        <w:spacing w:after="0" w:line="240" w:lineRule="auto"/>
        <w:rPr>
          <w:rFonts w:ascii="Times New Roman" w:hAnsi="Times New Roman" w:cs="Times New Roman"/>
          <w:sz w:val="24"/>
          <w:szCs w:val="24"/>
        </w:rPr>
      </w:pPr>
      <w:r w:rsidRPr="0094229F">
        <w:rPr>
          <w:rFonts w:ascii="Times New Roman" w:hAnsi="Times New Roman" w:cs="Times New Roman"/>
          <w:sz w:val="24"/>
          <w:szCs w:val="24"/>
        </w:rPr>
        <w:lastRenderedPageBreak/>
        <w:t xml:space="preserve">Mason and </w:t>
      </w:r>
      <w:proofErr w:type="spellStart"/>
      <w:r w:rsidRPr="0094229F">
        <w:rPr>
          <w:rFonts w:ascii="Times New Roman" w:hAnsi="Times New Roman" w:cs="Times New Roman"/>
          <w:sz w:val="24"/>
          <w:szCs w:val="24"/>
        </w:rPr>
        <w:t>Bulter</w:t>
      </w:r>
      <w:proofErr w:type="spellEnd"/>
      <w:r w:rsidRPr="0094229F">
        <w:rPr>
          <w:rFonts w:ascii="Times New Roman" w:hAnsi="Times New Roman" w:cs="Times New Roman"/>
          <w:sz w:val="24"/>
          <w:szCs w:val="24"/>
        </w:rPr>
        <w:t xml:space="preserve"> (1987) defines r</w:t>
      </w:r>
      <w:r w:rsidRPr="0094229F">
        <w:rPr>
          <w:rFonts w:ascii="Times New Roman" w:hAnsi="Times New Roman" w:cs="Times New Roman"/>
          <w:sz w:val="24"/>
          <w:szCs w:val="24"/>
        </w:rPr>
        <w:t>elative importance as the share that the base-period expenditure multiplied by the price relative for a particular item stratum is of the sum of all base-</w:t>
      </w:r>
      <w:r w:rsidRPr="0094229F">
        <w:rPr>
          <w:rFonts w:ascii="Times New Roman" w:hAnsi="Times New Roman" w:cs="Times New Roman"/>
          <w:sz w:val="24"/>
          <w:szCs w:val="24"/>
        </w:rPr>
        <w:t>p</w:t>
      </w:r>
      <w:r w:rsidRPr="0094229F">
        <w:rPr>
          <w:rFonts w:ascii="Times New Roman" w:hAnsi="Times New Roman" w:cs="Times New Roman"/>
          <w:sz w:val="24"/>
          <w:szCs w:val="24"/>
        </w:rPr>
        <w:t>eriod expenditures multiplied by their price relatives.</w:t>
      </w:r>
    </w:p>
    <w:p w:rsidR="00546020" w:rsidRDefault="00546020" w:rsidP="002D2DC6">
      <w:pPr>
        <w:rPr>
          <w:rFonts w:ascii="Times New Roman" w:hAnsi="Times New Roman" w:cs="Times New Roman"/>
          <w:sz w:val="24"/>
          <w:szCs w:val="24"/>
        </w:rPr>
      </w:pPr>
    </w:p>
    <w:p w:rsidR="00541A15" w:rsidRPr="0094229F" w:rsidRDefault="00C933B6" w:rsidP="002D2DC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RI</m:t>
              </m:r>
            </m:e>
            <m:sub>
              <m:r>
                <w:rPr>
                  <w:rFonts w:ascii="Cambria Math" w:hAnsi="Cambria Math" w:cs="Times New Roman"/>
                  <w:sz w:val="24"/>
                  <w:szCs w:val="24"/>
                </w:rPr>
                <m:t>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0i</m:t>
                      </m:r>
                    </m:sub>
                  </m:sSub>
                </m:den>
              </m:f>
              <m:r>
                <w:rPr>
                  <w:rFonts w:ascii="Cambria Math" w:hAnsi="Cambria Math" w:cs="Times New Roman"/>
                  <w:sz w:val="24"/>
                  <w:szCs w:val="24"/>
                </w:rPr>
                <m:t>)</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oi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ti</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oi</m:t>
                          </m:r>
                        </m:sub>
                      </m:sSub>
                    </m:den>
                  </m:f>
                  <m:r>
                    <w:rPr>
                      <w:rFonts w:ascii="Cambria Math" w:hAnsi="Cambria Math" w:cs="Times New Roman"/>
                      <w:sz w:val="24"/>
                      <w:szCs w:val="24"/>
                    </w:rPr>
                    <m:t>)</m:t>
                  </m:r>
                </m:e>
              </m:nary>
            </m:den>
          </m:f>
          <m:r>
            <w:rPr>
              <w:rFonts w:ascii="Cambria Math" w:hAnsi="Cambria Math" w:cs="Times New Roman"/>
              <w:sz w:val="24"/>
              <w:szCs w:val="24"/>
            </w:rPr>
            <m:t>*100</m:t>
          </m:r>
        </m:oMath>
      </m:oMathPara>
    </w:p>
    <w:p w:rsidR="00381FF2" w:rsidRPr="0094229F" w:rsidRDefault="00381FF2" w:rsidP="002D2DC6">
      <w:pPr>
        <w:rPr>
          <w:rFonts w:ascii="Times New Roman" w:hAnsi="Times New Roman" w:cs="Times New Roman"/>
          <w:sz w:val="24"/>
          <w:szCs w:val="24"/>
        </w:rPr>
      </w:pPr>
    </w:p>
    <w:p w:rsidR="00715E13" w:rsidRDefault="00C933B6" w:rsidP="002D2DC6">
      <w:pPr>
        <w:rPr>
          <w:rFonts w:ascii="Times New Roman" w:hAnsi="Times New Roman" w:cs="Times New Roman"/>
          <w:sz w:val="24"/>
          <w:szCs w:val="24"/>
        </w:rPr>
      </w:pPr>
      <w:r>
        <w:rPr>
          <w:rFonts w:ascii="Times New Roman" w:hAnsi="Times New Roman" w:cs="Times New Roman"/>
          <w:sz w:val="24"/>
          <w:szCs w:val="24"/>
        </w:rPr>
        <w:t xml:space="preserve">Where </w:t>
      </w:r>
    </w:p>
    <w:p w:rsidR="00C933B6" w:rsidRDefault="00C933B6" w:rsidP="002D2DC6">
      <w:pPr>
        <w:rPr>
          <w:rFonts w:ascii="Times New Roman" w:hAnsi="Times New Roman" w:cs="Times New Roman"/>
          <w:sz w:val="24"/>
          <w:szCs w:val="24"/>
        </w:rPr>
      </w:pPr>
      <w:proofErr w:type="spellStart"/>
      <w:r w:rsidRPr="00C933B6">
        <w:rPr>
          <w:rFonts w:ascii="Times New Roman" w:hAnsi="Times New Roman" w:cs="Times New Roman"/>
          <w:i/>
          <w:sz w:val="24"/>
          <w:szCs w:val="24"/>
        </w:rPr>
        <w:t>P</w:t>
      </w:r>
      <w:r w:rsidRPr="00C933B6">
        <w:rPr>
          <w:rFonts w:ascii="Times New Roman" w:hAnsi="Times New Roman" w:cs="Times New Roman"/>
          <w:i/>
          <w:sz w:val="24"/>
          <w:szCs w:val="24"/>
          <w:vertAlign w:val="subscript"/>
        </w:rPr>
        <w:t>ti</w:t>
      </w:r>
      <w:proofErr w:type="spellEnd"/>
      <w:r w:rsidRPr="00C933B6">
        <w:rPr>
          <w:rFonts w:ascii="Times New Roman" w:hAnsi="Times New Roman" w:cs="Times New Roman"/>
          <w:i/>
          <w:sz w:val="24"/>
          <w:szCs w:val="24"/>
        </w:rPr>
        <w:t xml:space="preserve"> </w:t>
      </w:r>
      <w:r>
        <w:rPr>
          <w:rFonts w:ascii="Times New Roman" w:hAnsi="Times New Roman" w:cs="Times New Roman"/>
          <w:sz w:val="24"/>
          <w:szCs w:val="24"/>
        </w:rPr>
        <w:t xml:space="preserve">is the price of item I in the comparison period t; </w:t>
      </w:r>
    </w:p>
    <w:p w:rsidR="00C933B6" w:rsidRDefault="00C933B6" w:rsidP="002D2DC6">
      <w:pPr>
        <w:rPr>
          <w:rFonts w:ascii="Times New Roman" w:hAnsi="Times New Roman" w:cs="Times New Roman"/>
          <w:sz w:val="24"/>
          <w:szCs w:val="24"/>
        </w:rPr>
      </w:pPr>
      <w:r w:rsidRPr="00C933B6">
        <w:rPr>
          <w:rFonts w:ascii="Times New Roman" w:hAnsi="Times New Roman" w:cs="Times New Roman"/>
          <w:i/>
          <w:sz w:val="24"/>
          <w:szCs w:val="24"/>
        </w:rPr>
        <w:t>P</w:t>
      </w:r>
      <w:r w:rsidRPr="00C933B6">
        <w:rPr>
          <w:rFonts w:ascii="Times New Roman" w:hAnsi="Times New Roman" w:cs="Times New Roman"/>
          <w:i/>
          <w:sz w:val="24"/>
          <w:szCs w:val="24"/>
          <w:vertAlign w:val="subscript"/>
        </w:rPr>
        <w:t>oi</w:t>
      </w:r>
      <w:r>
        <w:rPr>
          <w:rFonts w:ascii="Times New Roman" w:hAnsi="Times New Roman" w:cs="Times New Roman"/>
          <w:sz w:val="24"/>
          <w:szCs w:val="24"/>
        </w:rPr>
        <w:t xml:space="preserve"> is the price of item I in the base period;</w:t>
      </w:r>
    </w:p>
    <w:p w:rsidR="00C933B6" w:rsidRPr="00C933B6" w:rsidRDefault="00C933B6" w:rsidP="002D2DC6">
      <w:pPr>
        <w:rPr>
          <w:rFonts w:ascii="Times New Roman" w:hAnsi="Times New Roman" w:cs="Times New Roman"/>
          <w:sz w:val="24"/>
          <w:szCs w:val="24"/>
        </w:rPr>
      </w:pPr>
      <w:proofErr w:type="spellStart"/>
      <w:r w:rsidRPr="00C933B6">
        <w:rPr>
          <w:rFonts w:ascii="Times New Roman" w:hAnsi="Times New Roman" w:cs="Times New Roman"/>
          <w:i/>
          <w:sz w:val="24"/>
          <w:szCs w:val="24"/>
        </w:rPr>
        <w:t>E</w:t>
      </w:r>
      <w:r w:rsidRPr="00C933B6">
        <w:rPr>
          <w:rFonts w:ascii="Times New Roman" w:hAnsi="Times New Roman" w:cs="Times New Roman"/>
          <w:i/>
          <w:sz w:val="24"/>
          <w:szCs w:val="24"/>
          <w:vertAlign w:val="subscript"/>
        </w:rPr>
        <w:t>oi</w:t>
      </w:r>
      <w:proofErr w:type="spellEnd"/>
      <w:r>
        <w:rPr>
          <w:rFonts w:ascii="Times New Roman" w:hAnsi="Times New Roman" w:cs="Times New Roman"/>
          <w:sz w:val="24"/>
          <w:szCs w:val="24"/>
        </w:rPr>
        <w:t xml:space="preserve"> is the expenditure for item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base period</w:t>
      </w:r>
    </w:p>
    <w:p w:rsidR="00715E13" w:rsidRPr="0094229F" w:rsidRDefault="00715E13" w:rsidP="002D2DC6">
      <w:pPr>
        <w:rPr>
          <w:rFonts w:ascii="Times New Roman" w:hAnsi="Times New Roman" w:cs="Times New Roman"/>
          <w:sz w:val="24"/>
          <w:szCs w:val="24"/>
        </w:rPr>
      </w:pPr>
    </w:p>
    <w:p w:rsidR="00715E13" w:rsidRPr="0094229F" w:rsidRDefault="00715E13" w:rsidP="002D2DC6">
      <w:pPr>
        <w:rPr>
          <w:rFonts w:ascii="Times New Roman" w:hAnsi="Times New Roman" w:cs="Times New Roman"/>
          <w:sz w:val="24"/>
          <w:szCs w:val="24"/>
        </w:rPr>
      </w:pPr>
    </w:p>
    <w:p w:rsidR="00715E13" w:rsidRPr="00C933B6" w:rsidRDefault="00C933B6" w:rsidP="00C933B6">
      <w:pPr>
        <w:outlineLvl w:val="0"/>
        <w:rPr>
          <w:rFonts w:ascii="Times New Roman" w:hAnsi="Times New Roman" w:cs="Times New Roman"/>
          <w:b/>
          <w:sz w:val="24"/>
          <w:szCs w:val="24"/>
        </w:rPr>
      </w:pPr>
      <w:r w:rsidRPr="00C933B6">
        <w:rPr>
          <w:rFonts w:ascii="Times New Roman" w:hAnsi="Times New Roman" w:cs="Times New Roman"/>
          <w:b/>
          <w:sz w:val="24"/>
          <w:szCs w:val="24"/>
        </w:rPr>
        <w:t>Other useful information</w:t>
      </w:r>
    </w:p>
    <w:p w:rsidR="009E64B4" w:rsidRPr="0094229F" w:rsidRDefault="00546020" w:rsidP="00C933B6">
      <w:pPr>
        <w:outlineLvl w:val="1"/>
        <w:rPr>
          <w:rFonts w:ascii="Times New Roman" w:hAnsi="Times New Roman" w:cs="Times New Roman"/>
          <w:b/>
          <w:sz w:val="24"/>
          <w:szCs w:val="24"/>
          <w:shd w:val="clear" w:color="auto" w:fill="FFFFFF"/>
        </w:rPr>
      </w:pPr>
      <w:r w:rsidRPr="0094229F">
        <w:rPr>
          <w:rFonts w:ascii="Times New Roman" w:hAnsi="Times New Roman" w:cs="Times New Roman"/>
          <w:b/>
          <w:sz w:val="24"/>
          <w:szCs w:val="24"/>
          <w:shd w:val="clear" w:color="auto" w:fill="FFFFFF"/>
        </w:rPr>
        <w:t xml:space="preserve">Price collection </w:t>
      </w:r>
    </w:p>
    <w:p w:rsidR="00B40180" w:rsidRPr="0094229F" w:rsidRDefault="00B40180" w:rsidP="00B40180">
      <w:pPr>
        <w:pStyle w:val="NormalWeb"/>
        <w:shd w:val="clear" w:color="auto" w:fill="FFFFFF"/>
        <w:spacing w:before="0" w:beforeAutospacing="0" w:after="240" w:afterAutospacing="0" w:line="312" w:lineRule="atLeast"/>
        <w:rPr>
          <w:color w:val="333333"/>
        </w:rPr>
      </w:pPr>
      <w:r w:rsidRPr="0094229F">
        <w:rPr>
          <w:color w:val="333333"/>
          <w:shd w:val="clear" w:color="auto" w:fill="FFFFFF"/>
        </w:rPr>
        <w:t>In frequent asked questions for CPI, BLS answers</w:t>
      </w:r>
      <w:r w:rsidRPr="0094229F">
        <w:rPr>
          <w:color w:val="333333"/>
          <w:shd w:val="clear" w:color="auto" w:fill="FFFFFF"/>
        </w:rPr>
        <w:t xml:space="preserve"> how CPI prices collected and revised</w:t>
      </w:r>
      <w:r w:rsidRPr="0094229F">
        <w:rPr>
          <w:rStyle w:val="FootnoteReference"/>
          <w:color w:val="333333"/>
          <w:shd w:val="clear" w:color="auto" w:fill="FFFFFF"/>
        </w:rPr>
        <w:footnoteReference w:id="6"/>
      </w:r>
      <w:r w:rsidRPr="0094229F">
        <w:rPr>
          <w:color w:val="333333"/>
          <w:shd w:val="clear" w:color="auto" w:fill="FFFFFF"/>
        </w:rPr>
        <w:t xml:space="preserve">. </w:t>
      </w:r>
      <w:r w:rsidRPr="0094229F">
        <w:rPr>
          <w:color w:val="333333"/>
        </w:rPr>
        <w:t>Each month, BLS data collectors called economic assistants visit or call thousands of retail stores, service establishments, rental units, and doctors' offices, all over the United States, to obtain information on the prices of the thousands of items used to track and measure price changes in the CPI. These economic assistants record the prices of about 80,000 items each month, representing a scientifically selected sample of the prices paid by consumers for goods and services purchased.</w:t>
      </w:r>
    </w:p>
    <w:p w:rsidR="00B40180" w:rsidRPr="0094229F" w:rsidRDefault="00B40180" w:rsidP="00B40180">
      <w:pPr>
        <w:pStyle w:val="NormalWeb"/>
        <w:shd w:val="clear" w:color="auto" w:fill="FFFFFF"/>
        <w:spacing w:before="0" w:beforeAutospacing="0" w:after="240" w:afterAutospacing="0" w:line="312" w:lineRule="atLeast"/>
        <w:rPr>
          <w:color w:val="333333"/>
        </w:rPr>
      </w:pPr>
      <w:r w:rsidRPr="0094229F">
        <w:rPr>
          <w:color w:val="333333"/>
        </w:rPr>
        <w:t>During each call or visit, the economic assistant collects price data on a specific good or service that was precisely defined during an earlier visit. If the selected item is available, the economic assistant records its price. If the selected item is no longer available, or if there have been changes in the quality or quantity (for example, eggs sold in packages of ten when they previously were sold by the dozen) of the good or service since the last time prices were collected, the economic assistant selects a new item or records the quality change in the current item.</w:t>
      </w:r>
    </w:p>
    <w:p w:rsidR="00B40180" w:rsidRDefault="00B40180" w:rsidP="00B40180">
      <w:pPr>
        <w:pStyle w:val="NormalWeb"/>
        <w:shd w:val="clear" w:color="auto" w:fill="FFFFFF"/>
        <w:spacing w:before="0" w:beforeAutospacing="0" w:after="240" w:afterAutospacing="0" w:line="312" w:lineRule="atLeast"/>
        <w:rPr>
          <w:color w:val="2E74B5" w:themeColor="accent1" w:themeShade="BF"/>
        </w:rPr>
      </w:pPr>
      <w:r w:rsidRPr="0094229F">
        <w:rPr>
          <w:color w:val="333333"/>
        </w:rPr>
        <w:t xml:space="preserve">The recorded information is sent to the national office of BLS, where commodity specialists who have detailed knowledge about the particular goods or services priced review the data. These </w:t>
      </w:r>
      <w:r w:rsidRPr="0094229F">
        <w:rPr>
          <w:color w:val="333333"/>
        </w:rPr>
        <w:lastRenderedPageBreak/>
        <w:t xml:space="preserve">specialists check the data for accuracy and consistency and make any necessary corrections or adjustments, which can range from an adjustment for a change in the size or quantity of a packaged item to more complex adjustments based upon statistical analysis of the value of an item's features or quality. Thus, commodity specialists strive to prevent changes in the quality of items from affecting the CPI's measurement of price change. </w:t>
      </w:r>
      <w:r w:rsidRPr="0094229F">
        <w:rPr>
          <w:color w:val="2E74B5" w:themeColor="accent1" w:themeShade="BF"/>
        </w:rPr>
        <w:t>(Consumer Expenditure Survey data is different from CPI price collections, they are two different process.)</w:t>
      </w:r>
    </w:p>
    <w:p w:rsidR="00C933B6" w:rsidRPr="0094229F" w:rsidRDefault="00C933B6" w:rsidP="00B40180">
      <w:pPr>
        <w:pStyle w:val="NormalWeb"/>
        <w:shd w:val="clear" w:color="auto" w:fill="FFFFFF"/>
        <w:spacing w:before="0" w:beforeAutospacing="0" w:after="240" w:afterAutospacing="0" w:line="312" w:lineRule="atLeast"/>
        <w:rPr>
          <w:color w:val="2E74B5" w:themeColor="accent1" w:themeShade="BF"/>
        </w:rPr>
      </w:pPr>
    </w:p>
    <w:p w:rsidR="002D2DC6" w:rsidRPr="00C933B6" w:rsidRDefault="00546020" w:rsidP="00C933B6">
      <w:pPr>
        <w:outlineLvl w:val="1"/>
        <w:rPr>
          <w:rFonts w:ascii="Times New Roman" w:hAnsi="Times New Roman" w:cs="Times New Roman"/>
          <w:b/>
          <w:sz w:val="24"/>
          <w:szCs w:val="24"/>
        </w:rPr>
      </w:pPr>
      <w:r w:rsidRPr="00C933B6">
        <w:rPr>
          <w:rFonts w:ascii="Times New Roman" w:hAnsi="Times New Roman" w:cs="Times New Roman"/>
          <w:b/>
          <w:sz w:val="24"/>
          <w:szCs w:val="24"/>
        </w:rPr>
        <w:t xml:space="preserve">Purpose of CE survey </w:t>
      </w:r>
    </w:p>
    <w:p w:rsidR="00546020" w:rsidRPr="0094229F" w:rsidRDefault="00546020" w:rsidP="00546020">
      <w:pPr>
        <w:rPr>
          <w:rFonts w:ascii="Times New Roman" w:hAnsi="Times New Roman" w:cs="Times New Roman"/>
          <w:color w:val="2E74B5" w:themeColor="accent1" w:themeShade="BF"/>
          <w:sz w:val="24"/>
          <w:szCs w:val="24"/>
        </w:rPr>
      </w:pPr>
      <w:r w:rsidRPr="0094229F">
        <w:rPr>
          <w:rFonts w:ascii="Times New Roman" w:hAnsi="Times New Roman" w:cs="Times New Roman"/>
          <w:sz w:val="24"/>
          <w:szCs w:val="24"/>
        </w:rPr>
        <w:t>The objectives of the CE remain the same: to provide the basis for revising weights and associated pricing samples for the CPI and to meet the need for timely and detailed information on the spending patterns of different types of families</w:t>
      </w:r>
      <w:r w:rsidRPr="0094229F">
        <w:rPr>
          <w:rFonts w:ascii="Times New Roman" w:hAnsi="Times New Roman" w:cs="Times New Roman"/>
          <w:color w:val="2E74B5" w:themeColor="accent1" w:themeShade="BF"/>
          <w:sz w:val="24"/>
          <w:szCs w:val="24"/>
        </w:rPr>
        <w:t>. (Weight and associated pricing samples)</w:t>
      </w:r>
    </w:p>
    <w:p w:rsidR="00B40180" w:rsidRPr="0094229F" w:rsidRDefault="00546020" w:rsidP="002D2DC6">
      <w:pPr>
        <w:rPr>
          <w:rStyle w:val="A2"/>
          <w:rFonts w:ascii="Times New Roman" w:hAnsi="Times New Roman" w:cs="Times New Roman"/>
          <w:sz w:val="24"/>
          <w:szCs w:val="24"/>
        </w:rPr>
      </w:pPr>
      <w:r w:rsidRPr="0094229F">
        <w:rPr>
          <w:rStyle w:val="A2"/>
          <w:rFonts w:ascii="Times New Roman" w:hAnsi="Times New Roman" w:cs="Times New Roman"/>
          <w:sz w:val="24"/>
          <w:szCs w:val="24"/>
        </w:rPr>
        <w:t>Results of the CE are used to select new “market baskets” of goods and services for the index, to determine the relative importance of components, and to derive cost weights for the baskets.</w:t>
      </w:r>
    </w:p>
    <w:p w:rsidR="00546020" w:rsidRPr="0094229F" w:rsidRDefault="00546020" w:rsidP="002D2DC6">
      <w:pPr>
        <w:rPr>
          <w:rStyle w:val="A2"/>
          <w:rFonts w:ascii="Times New Roman" w:hAnsi="Times New Roman" w:cs="Times New Roman"/>
          <w:sz w:val="24"/>
          <w:szCs w:val="24"/>
        </w:rPr>
      </w:pPr>
    </w:p>
    <w:p w:rsidR="00546020" w:rsidRPr="0094229F" w:rsidRDefault="00546020" w:rsidP="008729BB">
      <w:pPr>
        <w:rPr>
          <w:rFonts w:ascii="Times New Roman" w:hAnsi="Times New Roman" w:cs="Times New Roman"/>
          <w:color w:val="000000"/>
          <w:sz w:val="24"/>
          <w:szCs w:val="24"/>
        </w:rPr>
      </w:pPr>
      <w:r w:rsidRPr="0094229F">
        <w:rPr>
          <w:rStyle w:val="A2"/>
          <w:rFonts w:ascii="Times New Roman" w:hAnsi="Times New Roman" w:cs="Times New Roman"/>
          <w:sz w:val="24"/>
          <w:szCs w:val="24"/>
        </w:rPr>
        <w:t>The BLS describe how CE data are used in the CPI</w:t>
      </w:r>
      <w:r w:rsidRPr="0094229F">
        <w:rPr>
          <w:rStyle w:val="FootnoteReference"/>
          <w:rFonts w:ascii="Times New Roman" w:hAnsi="Times New Roman" w:cs="Times New Roman"/>
          <w:color w:val="000000"/>
          <w:sz w:val="24"/>
          <w:szCs w:val="24"/>
        </w:rPr>
        <w:footnoteReference w:id="7"/>
      </w:r>
      <w:r w:rsidR="008729BB" w:rsidRPr="0094229F">
        <w:rPr>
          <w:rStyle w:val="A2"/>
          <w:rFonts w:ascii="Times New Roman" w:hAnsi="Times New Roman" w:cs="Times New Roman"/>
          <w:sz w:val="24"/>
          <w:szCs w:val="24"/>
        </w:rPr>
        <w:t xml:space="preserve">. </w:t>
      </w:r>
    </w:p>
    <w:p w:rsidR="00546020" w:rsidRPr="0094229F" w:rsidRDefault="00546020" w:rsidP="00546020">
      <w:pPr>
        <w:numPr>
          <w:ilvl w:val="0"/>
          <w:numId w:val="2"/>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 BLS combines the spending information from respondents across the country to see how much is spent on each type of item.</w:t>
      </w:r>
    </w:p>
    <w:p w:rsidR="00546020" w:rsidRPr="0094229F" w:rsidRDefault="00546020" w:rsidP="00546020">
      <w:pPr>
        <w:numPr>
          <w:ilvl w:val="0"/>
          <w:numId w:val="2"/>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All reported expenses are used to estimate how much urban households spend on each item.</w:t>
      </w:r>
    </w:p>
    <w:p w:rsidR="00546020" w:rsidRPr="0094229F" w:rsidRDefault="00546020" w:rsidP="00546020">
      <w:pPr>
        <w:numPr>
          <w:ilvl w:val="0"/>
          <w:numId w:val="2"/>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These estimates are used to construct the market basket which contains a representative sample of expenses.</w:t>
      </w:r>
    </w:p>
    <w:p w:rsidR="00546020" w:rsidRPr="0094229F" w:rsidRDefault="00546020" w:rsidP="00546020">
      <w:pPr>
        <w:numPr>
          <w:ilvl w:val="0"/>
          <w:numId w:val="2"/>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 BLS conducts another survey to find out where consumers purchased items in the market basket.</w:t>
      </w:r>
    </w:p>
    <w:p w:rsidR="00546020" w:rsidRPr="0094229F" w:rsidRDefault="00546020" w:rsidP="00546020">
      <w:pPr>
        <w:numPr>
          <w:ilvl w:val="0"/>
          <w:numId w:val="2"/>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BLS data collectors visit housing units and a sample of the identified stores to obtain current price information on about 80,000 items each month across the country.</w:t>
      </w:r>
    </w:p>
    <w:p w:rsidR="00546020" w:rsidRPr="0094229F" w:rsidRDefault="00546020" w:rsidP="00546020">
      <w:pPr>
        <w:numPr>
          <w:ilvl w:val="0"/>
          <w:numId w:val="2"/>
        </w:numPr>
        <w:shd w:val="clear" w:color="auto" w:fill="FFFFFF"/>
        <w:spacing w:after="0" w:line="312" w:lineRule="atLeast"/>
        <w:ind w:left="360"/>
        <w:rPr>
          <w:rFonts w:ascii="Times New Roman" w:hAnsi="Times New Roman" w:cs="Times New Roman"/>
          <w:color w:val="000000"/>
          <w:sz w:val="24"/>
          <w:szCs w:val="24"/>
        </w:rPr>
      </w:pPr>
      <w:r w:rsidRPr="0094229F">
        <w:rPr>
          <w:rFonts w:ascii="Times New Roman" w:hAnsi="Times New Roman" w:cs="Times New Roman"/>
          <w:color w:val="000000"/>
          <w:sz w:val="24"/>
          <w:szCs w:val="24"/>
        </w:rPr>
        <w:t>The BLS combines the information about the items purchased, the expenditures on these items, and their current prices to calculate the CPI.</w:t>
      </w:r>
    </w:p>
    <w:p w:rsidR="00546020" w:rsidRDefault="00546020" w:rsidP="002D2DC6">
      <w:pPr>
        <w:rPr>
          <w:rFonts w:ascii="Times New Roman" w:hAnsi="Times New Roman" w:cs="Times New Roman"/>
          <w:sz w:val="24"/>
          <w:szCs w:val="24"/>
        </w:rPr>
      </w:pPr>
    </w:p>
    <w:p w:rsidR="001B5ED8" w:rsidRDefault="001B5ED8" w:rsidP="002D2DC6">
      <w:pPr>
        <w:rPr>
          <w:rFonts w:ascii="Times New Roman" w:hAnsi="Times New Roman" w:cs="Times New Roman"/>
          <w:sz w:val="24"/>
          <w:szCs w:val="24"/>
        </w:rPr>
      </w:pPr>
    </w:p>
    <w:p w:rsidR="001B5ED8" w:rsidRDefault="001B5ED8" w:rsidP="001B5ED8">
      <w:pPr>
        <w:outlineLvl w:val="0"/>
        <w:rPr>
          <w:rFonts w:ascii="Times New Roman" w:hAnsi="Times New Roman" w:cs="Times New Roman"/>
          <w:sz w:val="24"/>
          <w:szCs w:val="24"/>
        </w:rPr>
      </w:pPr>
      <w:r>
        <w:rPr>
          <w:rFonts w:ascii="Times New Roman" w:hAnsi="Times New Roman" w:cs="Times New Roman"/>
          <w:sz w:val="24"/>
          <w:szCs w:val="24"/>
        </w:rPr>
        <w:t>Reference</w:t>
      </w:r>
    </w:p>
    <w:p w:rsidR="001B5ED8" w:rsidRPr="001B5ED8" w:rsidRDefault="001B5ED8" w:rsidP="001B5ED8">
      <w:pPr>
        <w:pStyle w:val="Bibliography"/>
        <w:rPr>
          <w:rFonts w:ascii="Times New Roman" w:hAnsi="Times New Roman" w:cs="Times New Roman"/>
          <w:sz w:val="24"/>
        </w:rPr>
      </w:pPr>
      <w:r>
        <w:fldChar w:fldCharType="begin"/>
      </w:r>
      <w:r>
        <w:instrText xml:space="preserve"> ADDIN ZOTERO_BIBL {"custom":[]} CSL_BIBLIOGRAPHY </w:instrText>
      </w:r>
      <w:r>
        <w:fldChar w:fldCharType="separate"/>
      </w:r>
      <w:r w:rsidRPr="001B5ED8">
        <w:rPr>
          <w:rFonts w:ascii="Times New Roman" w:hAnsi="Times New Roman" w:cs="Times New Roman"/>
          <w:sz w:val="24"/>
        </w:rPr>
        <w:t xml:space="preserve">Mason, Charles, and Clifford Butler. 1987. “New Basket of Goods and Services Being Priced in Revised CPI.” </w:t>
      </w:r>
      <w:r w:rsidRPr="001B5ED8">
        <w:rPr>
          <w:rFonts w:ascii="Times New Roman" w:hAnsi="Times New Roman" w:cs="Times New Roman"/>
          <w:i/>
          <w:iCs/>
          <w:sz w:val="24"/>
        </w:rPr>
        <w:t>Monthly Labor Review</w:t>
      </w:r>
      <w:r w:rsidRPr="001B5ED8">
        <w:rPr>
          <w:rFonts w:ascii="Times New Roman" w:hAnsi="Times New Roman" w:cs="Times New Roman"/>
          <w:sz w:val="24"/>
        </w:rPr>
        <w:t>, 3–22.</w:t>
      </w:r>
    </w:p>
    <w:p w:rsidR="001B5ED8" w:rsidRPr="001B5ED8" w:rsidRDefault="001B5ED8" w:rsidP="001B5ED8">
      <w:pPr>
        <w:pStyle w:val="Bibliography"/>
        <w:rPr>
          <w:rFonts w:ascii="Times New Roman" w:hAnsi="Times New Roman" w:cs="Times New Roman"/>
          <w:sz w:val="24"/>
        </w:rPr>
      </w:pPr>
      <w:r w:rsidRPr="001B5ED8">
        <w:rPr>
          <w:rFonts w:ascii="Times New Roman" w:hAnsi="Times New Roman" w:cs="Times New Roman"/>
          <w:sz w:val="24"/>
        </w:rPr>
        <w:t xml:space="preserve">Schmidt, Mary Lynn, and Bureau </w:t>
      </w:r>
      <w:proofErr w:type="gramStart"/>
      <w:r w:rsidRPr="001B5ED8">
        <w:rPr>
          <w:rFonts w:ascii="Times New Roman" w:hAnsi="Times New Roman" w:cs="Times New Roman"/>
          <w:sz w:val="24"/>
        </w:rPr>
        <w:t>Of</w:t>
      </w:r>
      <w:proofErr w:type="gramEnd"/>
      <w:r w:rsidRPr="001B5ED8">
        <w:rPr>
          <w:rFonts w:ascii="Times New Roman" w:hAnsi="Times New Roman" w:cs="Times New Roman"/>
          <w:sz w:val="24"/>
        </w:rPr>
        <w:t xml:space="preserve"> Labor Statistics. </w:t>
      </w:r>
      <w:r>
        <w:rPr>
          <w:rFonts w:ascii="Times New Roman" w:hAnsi="Times New Roman" w:cs="Times New Roman"/>
          <w:sz w:val="24"/>
        </w:rPr>
        <w:t>1995</w:t>
      </w:r>
      <w:r w:rsidRPr="001B5ED8">
        <w:rPr>
          <w:rFonts w:ascii="Times New Roman" w:hAnsi="Times New Roman" w:cs="Times New Roman"/>
          <w:sz w:val="24"/>
        </w:rPr>
        <w:t xml:space="preserve">. </w:t>
      </w:r>
      <w:r w:rsidRPr="001B5ED8">
        <w:rPr>
          <w:rFonts w:ascii="Times New Roman" w:hAnsi="Times New Roman" w:cs="Times New Roman"/>
          <w:i/>
          <w:iCs/>
          <w:sz w:val="24"/>
        </w:rPr>
        <w:t>Comparing Market Basket Changes and the CPI</w:t>
      </w:r>
      <w:r w:rsidRPr="001B5ED8">
        <w:rPr>
          <w:rFonts w:ascii="Times New Roman" w:hAnsi="Times New Roman" w:cs="Times New Roman"/>
          <w:sz w:val="24"/>
        </w:rPr>
        <w:t>.</w:t>
      </w:r>
    </w:p>
    <w:p w:rsidR="001B5ED8" w:rsidRPr="0094229F" w:rsidRDefault="001B5ED8" w:rsidP="002D2DC6">
      <w:pPr>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sectPr w:rsidR="001B5ED8" w:rsidRPr="009422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7FD" w:rsidRDefault="00FC77FD" w:rsidP="00CF6212">
      <w:pPr>
        <w:spacing w:after="0" w:line="240" w:lineRule="auto"/>
      </w:pPr>
      <w:r>
        <w:separator/>
      </w:r>
    </w:p>
  </w:endnote>
  <w:endnote w:type="continuationSeparator" w:id="0">
    <w:p w:rsidR="00FC77FD" w:rsidRDefault="00FC77FD" w:rsidP="00CF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7FD" w:rsidRDefault="00FC77FD" w:rsidP="00CF6212">
      <w:pPr>
        <w:spacing w:after="0" w:line="240" w:lineRule="auto"/>
      </w:pPr>
      <w:r>
        <w:separator/>
      </w:r>
    </w:p>
  </w:footnote>
  <w:footnote w:type="continuationSeparator" w:id="0">
    <w:p w:rsidR="00FC77FD" w:rsidRDefault="00FC77FD" w:rsidP="00CF6212">
      <w:pPr>
        <w:spacing w:after="0" w:line="240" w:lineRule="auto"/>
      </w:pPr>
      <w:r>
        <w:continuationSeparator/>
      </w:r>
    </w:p>
  </w:footnote>
  <w:footnote w:id="1">
    <w:p w:rsidR="0094229F" w:rsidRDefault="0094229F" w:rsidP="0094229F">
      <w:pPr>
        <w:pStyle w:val="FootnoteText"/>
      </w:pPr>
      <w:r>
        <w:rPr>
          <w:rStyle w:val="FootnoteReference"/>
        </w:rPr>
        <w:footnoteRef/>
      </w:r>
      <w:r>
        <w:t xml:space="preserve"> Chapter 17 The Consumer Price Index, </w:t>
      </w:r>
      <w:r w:rsidR="00541A15">
        <w:t>p</w:t>
      </w:r>
      <w:r>
        <w:t xml:space="preserve">age 22, available at  </w:t>
      </w:r>
      <w:hyperlink r:id="rId1" w:history="1">
        <w:r w:rsidRPr="00EE2B33">
          <w:rPr>
            <w:rStyle w:val="Hyperlink"/>
          </w:rPr>
          <w:t>http://www.bls.gov/opub/hom/pdf/homch17.pdf</w:t>
        </w:r>
      </w:hyperlink>
    </w:p>
  </w:footnote>
  <w:footnote w:id="2">
    <w:p w:rsidR="00CF6212" w:rsidRDefault="00CF6212">
      <w:pPr>
        <w:pStyle w:val="FootnoteText"/>
      </w:pPr>
      <w:r>
        <w:rPr>
          <w:rStyle w:val="FootnoteReference"/>
        </w:rPr>
        <w:footnoteRef/>
      </w:r>
      <w:r>
        <w:t xml:space="preserve"> Chapter 17 The Consumer Price Index, </w:t>
      </w:r>
      <w:r w:rsidR="00541A15">
        <w:t xml:space="preserve">page 34, </w:t>
      </w:r>
      <w:r>
        <w:t xml:space="preserve">available at  </w:t>
      </w:r>
      <w:hyperlink r:id="rId2" w:history="1">
        <w:r w:rsidRPr="00EE2B33">
          <w:rPr>
            <w:rStyle w:val="Hyperlink"/>
          </w:rPr>
          <w:t>http://www.bls.gov/opub/hom/pdf/homch17.pdf</w:t>
        </w:r>
      </w:hyperlink>
      <w:r>
        <w:t xml:space="preserve"> </w:t>
      </w:r>
    </w:p>
  </w:footnote>
  <w:footnote w:id="3">
    <w:p w:rsidR="00541A15" w:rsidRDefault="00541A15">
      <w:pPr>
        <w:pStyle w:val="FootnoteText"/>
      </w:pPr>
      <w:r>
        <w:rPr>
          <w:rStyle w:val="FootnoteReference"/>
        </w:rPr>
        <w:footnoteRef/>
      </w:r>
      <w:r>
        <w:t xml:space="preserve"> Chapter 16 Consumer expenditures and income, page 6, available at </w:t>
      </w:r>
      <w:hyperlink r:id="rId3" w:history="1">
        <w:r w:rsidRPr="00EE2B33">
          <w:rPr>
            <w:rStyle w:val="Hyperlink"/>
          </w:rPr>
          <w:t>http://www.bls.gov/opub/hom/pdf/homch16.pdf</w:t>
        </w:r>
      </w:hyperlink>
      <w:r>
        <w:t xml:space="preserve"> </w:t>
      </w:r>
    </w:p>
  </w:footnote>
  <w:footnote w:id="4">
    <w:p w:rsidR="00C17729" w:rsidRDefault="00C17729">
      <w:pPr>
        <w:pStyle w:val="FootnoteText"/>
      </w:pPr>
      <w:r>
        <w:rPr>
          <w:rStyle w:val="FootnoteReference"/>
        </w:rPr>
        <w:footnoteRef/>
      </w:r>
      <w:r>
        <w:t xml:space="preserve"> </w:t>
      </w:r>
      <w:r w:rsidRPr="00C17729">
        <w:t>BLS Frequent Asked Questions CPI</w:t>
      </w:r>
      <w:r w:rsidRPr="00C17729">
        <w:t xml:space="preserve">, how is the CPI market basket determined? Available at </w:t>
      </w:r>
      <w:hyperlink r:id="rId4" w:history="1">
        <w:r w:rsidRPr="00EE2B33">
          <w:rPr>
            <w:rStyle w:val="Hyperlink"/>
            <w:rFonts w:ascii="Times New Roman" w:hAnsi="Times New Roman" w:cs="Times New Roman"/>
            <w:sz w:val="24"/>
            <w:szCs w:val="24"/>
          </w:rPr>
          <w:t>http://stats.bls.gov/cpi/cpifaq.htm#Question_6</w:t>
        </w:r>
      </w:hyperlink>
      <w:r>
        <w:rPr>
          <w:rFonts w:ascii="Times New Roman" w:hAnsi="Times New Roman" w:cs="Times New Roman"/>
          <w:sz w:val="24"/>
          <w:szCs w:val="24"/>
        </w:rPr>
        <w:t xml:space="preserve"> </w:t>
      </w:r>
    </w:p>
  </w:footnote>
  <w:footnote w:id="5">
    <w:p w:rsidR="00B40180" w:rsidRDefault="00B40180">
      <w:pPr>
        <w:pStyle w:val="FootnoteText"/>
      </w:pPr>
      <w:r>
        <w:rPr>
          <w:rStyle w:val="FootnoteReference"/>
        </w:rPr>
        <w:footnoteRef/>
      </w:r>
      <w:r>
        <w:t xml:space="preserve"> </w:t>
      </w:r>
      <w:r w:rsidRPr="00C17729">
        <w:t>BLS Frequent Asked Questions CPI</w:t>
      </w:r>
      <w:r>
        <w:t xml:space="preserve">, what goods and services does the CPI cover? Available at </w:t>
      </w:r>
      <w:hyperlink r:id="rId5" w:history="1">
        <w:r w:rsidRPr="00EE2B33">
          <w:rPr>
            <w:rStyle w:val="Hyperlink"/>
          </w:rPr>
          <w:t>http://stats.bls.gov/cpi/cpifaq.htm#Question_7</w:t>
        </w:r>
      </w:hyperlink>
      <w:r>
        <w:t xml:space="preserve"> </w:t>
      </w:r>
    </w:p>
  </w:footnote>
  <w:footnote w:id="6">
    <w:p w:rsidR="00B40180" w:rsidRDefault="00B40180">
      <w:pPr>
        <w:pStyle w:val="FootnoteText"/>
      </w:pPr>
      <w:r>
        <w:rPr>
          <w:rStyle w:val="FootnoteReference"/>
        </w:rPr>
        <w:footnoteRef/>
      </w:r>
      <w:r>
        <w:t xml:space="preserve"> </w:t>
      </w:r>
      <w:r w:rsidRPr="00C17729">
        <w:t>BLS Frequent Asked Questions CPI</w:t>
      </w:r>
      <w:r>
        <w:t>,</w:t>
      </w:r>
      <w:r>
        <w:t xml:space="preserve"> how are CPI prices collected and </w:t>
      </w:r>
      <w:proofErr w:type="gramStart"/>
      <w:r>
        <w:t>reviewed?</w:t>
      </w:r>
      <w:proofErr w:type="gramEnd"/>
      <w:r>
        <w:t xml:space="preserve"> Available at </w:t>
      </w:r>
      <w:hyperlink r:id="rId6" w:history="1">
        <w:r w:rsidRPr="00EE2B33">
          <w:rPr>
            <w:rStyle w:val="Hyperlink"/>
          </w:rPr>
          <w:t>http://stats.bls.gov/cpi/cpifaq.htm#Question_8</w:t>
        </w:r>
      </w:hyperlink>
      <w:r>
        <w:t xml:space="preserve"> </w:t>
      </w:r>
    </w:p>
  </w:footnote>
  <w:footnote w:id="7">
    <w:p w:rsidR="00546020" w:rsidRDefault="00546020" w:rsidP="00994483">
      <w:r>
        <w:rPr>
          <w:rStyle w:val="FootnoteReference"/>
        </w:rPr>
        <w:footnoteRef/>
      </w:r>
      <w:r>
        <w:t xml:space="preserve"> </w:t>
      </w:r>
      <w:r w:rsidR="00994483">
        <w:t>The CE and the Consumer Price Index</w:t>
      </w:r>
      <w:r w:rsidR="00994483">
        <w:t xml:space="preserve">, available at </w:t>
      </w:r>
      <w:hyperlink r:id="rId7" w:history="1">
        <w:r w:rsidR="00994483" w:rsidRPr="00EE2B33">
          <w:rPr>
            <w:rStyle w:val="Hyperlink"/>
          </w:rPr>
          <w:t>http://ww</w:t>
        </w:r>
        <w:r w:rsidR="00994483" w:rsidRPr="00EE2B33">
          <w:rPr>
            <w:rStyle w:val="Hyperlink"/>
          </w:rPr>
          <w:t>w</w:t>
        </w:r>
        <w:r w:rsidR="00994483" w:rsidRPr="00EE2B33">
          <w:rPr>
            <w:rStyle w:val="Hyperlink"/>
          </w:rPr>
          <w:t>.bls.gov/respondents/cex/ceandcpi.htm</w:t>
        </w:r>
      </w:hyperlink>
      <w:r w:rsidR="00994483">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75C16"/>
    <w:multiLevelType w:val="multilevel"/>
    <w:tmpl w:val="F26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6E2CDD"/>
    <w:multiLevelType w:val="multilevel"/>
    <w:tmpl w:val="C0924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17"/>
    <w:rsid w:val="00124017"/>
    <w:rsid w:val="001B5ED8"/>
    <w:rsid w:val="002D2DC6"/>
    <w:rsid w:val="00381FF2"/>
    <w:rsid w:val="004210FF"/>
    <w:rsid w:val="00491930"/>
    <w:rsid w:val="00541A15"/>
    <w:rsid w:val="00546020"/>
    <w:rsid w:val="00605CE5"/>
    <w:rsid w:val="00715E13"/>
    <w:rsid w:val="008729BB"/>
    <w:rsid w:val="0094229F"/>
    <w:rsid w:val="00994483"/>
    <w:rsid w:val="009B1B5E"/>
    <w:rsid w:val="009E64B4"/>
    <w:rsid w:val="00B40180"/>
    <w:rsid w:val="00C17729"/>
    <w:rsid w:val="00C933B6"/>
    <w:rsid w:val="00CF6212"/>
    <w:rsid w:val="00FC7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3D5A8-661F-468A-A539-07C37771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460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62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6212"/>
    <w:rPr>
      <w:sz w:val="20"/>
      <w:szCs w:val="20"/>
    </w:rPr>
  </w:style>
  <w:style w:type="character" w:styleId="FootnoteReference">
    <w:name w:val="footnote reference"/>
    <w:basedOn w:val="DefaultParagraphFont"/>
    <w:uiPriority w:val="99"/>
    <w:semiHidden/>
    <w:unhideWhenUsed/>
    <w:rsid w:val="00CF6212"/>
    <w:rPr>
      <w:vertAlign w:val="superscript"/>
    </w:rPr>
  </w:style>
  <w:style w:type="character" w:styleId="Hyperlink">
    <w:name w:val="Hyperlink"/>
    <w:basedOn w:val="DefaultParagraphFont"/>
    <w:uiPriority w:val="99"/>
    <w:unhideWhenUsed/>
    <w:rsid w:val="00CF6212"/>
    <w:rPr>
      <w:color w:val="0563C1" w:themeColor="hyperlink"/>
      <w:u w:val="single"/>
    </w:rPr>
  </w:style>
  <w:style w:type="paragraph" w:styleId="NormalWeb">
    <w:name w:val="Normal (Web)"/>
    <w:basedOn w:val="Normal"/>
    <w:uiPriority w:val="99"/>
    <w:unhideWhenUsed/>
    <w:rsid w:val="00B40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0180"/>
  </w:style>
  <w:style w:type="character" w:styleId="Emphasis">
    <w:name w:val="Emphasis"/>
    <w:basedOn w:val="DefaultParagraphFont"/>
    <w:uiPriority w:val="20"/>
    <w:qFormat/>
    <w:rsid w:val="00B40180"/>
    <w:rPr>
      <w:i/>
      <w:iCs/>
    </w:rPr>
  </w:style>
  <w:style w:type="character" w:customStyle="1" w:styleId="A2">
    <w:name w:val="A2"/>
    <w:uiPriority w:val="99"/>
    <w:rsid w:val="00546020"/>
    <w:rPr>
      <w:color w:val="000000"/>
      <w:sz w:val="20"/>
      <w:szCs w:val="20"/>
    </w:rPr>
  </w:style>
  <w:style w:type="character" w:customStyle="1" w:styleId="Heading4Char">
    <w:name w:val="Heading 4 Char"/>
    <w:basedOn w:val="DefaultParagraphFont"/>
    <w:link w:val="Heading4"/>
    <w:uiPriority w:val="9"/>
    <w:rsid w:val="00546020"/>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994483"/>
    <w:rPr>
      <w:color w:val="954F72" w:themeColor="followedHyperlink"/>
      <w:u w:val="single"/>
    </w:rPr>
  </w:style>
  <w:style w:type="character" w:styleId="PlaceholderText">
    <w:name w:val="Placeholder Text"/>
    <w:basedOn w:val="DefaultParagraphFont"/>
    <w:uiPriority w:val="99"/>
    <w:semiHidden/>
    <w:rsid w:val="00C933B6"/>
    <w:rPr>
      <w:color w:val="808080"/>
    </w:rPr>
  </w:style>
  <w:style w:type="paragraph" w:styleId="BalloonText">
    <w:name w:val="Balloon Text"/>
    <w:basedOn w:val="Normal"/>
    <w:link w:val="BalloonTextChar"/>
    <w:uiPriority w:val="99"/>
    <w:semiHidden/>
    <w:unhideWhenUsed/>
    <w:rsid w:val="00491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930"/>
    <w:rPr>
      <w:rFonts w:ascii="Segoe UI" w:hAnsi="Segoe UI" w:cs="Segoe UI"/>
      <w:sz w:val="18"/>
      <w:szCs w:val="18"/>
    </w:rPr>
  </w:style>
  <w:style w:type="paragraph" w:styleId="Bibliography">
    <w:name w:val="Bibliography"/>
    <w:basedOn w:val="Normal"/>
    <w:next w:val="Normal"/>
    <w:uiPriority w:val="37"/>
    <w:unhideWhenUsed/>
    <w:rsid w:val="001B5ED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ls.gov/opub/hom/pdf/homch16.pdf" TargetMode="External"/><Relationship Id="rId7" Type="http://schemas.openxmlformats.org/officeDocument/2006/relationships/hyperlink" Target="http://www.bls.gov/respondents/cex/ceandcpi.htm" TargetMode="External"/><Relationship Id="rId2" Type="http://schemas.openxmlformats.org/officeDocument/2006/relationships/hyperlink" Target="http://www.bls.gov/opub/hom/pdf/homch17.pdf" TargetMode="External"/><Relationship Id="rId1" Type="http://schemas.openxmlformats.org/officeDocument/2006/relationships/hyperlink" Target="http://www.bls.gov/opub/hom/pdf/homch17.pdf" TargetMode="External"/><Relationship Id="rId6" Type="http://schemas.openxmlformats.org/officeDocument/2006/relationships/hyperlink" Target="http://stats.bls.gov/cpi/cpifaq.htm#Question_8" TargetMode="External"/><Relationship Id="rId5" Type="http://schemas.openxmlformats.org/officeDocument/2006/relationships/hyperlink" Target="http://stats.bls.gov/cpi/cpifaq.htm#Question_7" TargetMode="External"/><Relationship Id="rId4" Type="http://schemas.openxmlformats.org/officeDocument/2006/relationships/hyperlink" Target="http://stats.bls.gov/cpi/cpifaq.htm#Question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A05CC-A669-4E0E-B3FC-6A02E0CE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Huajie Yang</dc:creator>
  <cp:keywords/>
  <dc:description/>
  <cp:lastModifiedBy>Huajie Yang</cp:lastModifiedBy>
  <cp:revision>6</cp:revision>
  <cp:lastPrinted>2015-02-24T22:31:00Z</cp:lastPrinted>
  <dcterms:created xsi:type="dcterms:W3CDTF">2015-02-24T20:09:00Z</dcterms:created>
  <dcterms:modified xsi:type="dcterms:W3CDTF">2015-02-24T22:35:00Z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zotero-version="4.0.18"&gt;&lt;session id="vGGE5G2h"/&gt;&lt;style id="http://www.zotero.org/styles/chicago-author-date"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