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35E9A" w14:textId="7660AE25" w:rsidR="009005B9" w:rsidRDefault="00C21914">
      <w:r>
        <w:t>However, perhaps one area that I might like to focus on or change is inequality, specifically wealth inequality. Previously all I cared about was to have a stable financial future; that's why I chose to study engineering. However, as lockdowns began, I began reading stories, watching news clips on the exacerbation of the wealth inequality of many countries, most notably America. It bothers me that so many billionaires have increased their wealth due to the pandemic, particularly those people involved in the tech industry, yet millions of other people have been laid off, unemployed, not being able to afford rent, etc. The thing is, it's not their fault </w:t>
      </w:r>
    </w:p>
    <w:sectPr w:rsidR="009005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14"/>
    <w:rsid w:val="009005B9"/>
    <w:rsid w:val="00C2191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17D6"/>
  <w15:chartTrackingRefBased/>
  <w15:docId w15:val="{25C2807F-6761-446E-ADB6-D696548E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dc:creator>
  <cp:keywords/>
  <dc:description/>
  <cp:lastModifiedBy>James Li</cp:lastModifiedBy>
  <cp:revision>1</cp:revision>
  <dcterms:created xsi:type="dcterms:W3CDTF">2021-03-04T22:50:00Z</dcterms:created>
  <dcterms:modified xsi:type="dcterms:W3CDTF">2021-03-04T22:51:00Z</dcterms:modified>
</cp:coreProperties>
</file>