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PUBLIC SECTOR SURPLUS EXCHANGE</w:t>
      </w:r>
    </w:p>
    <w:p>
      <w:pPr>
        <w:jc w:val="center"/>
      </w:pPr>
      <w:r>
        <w:rPr>
          <w:b/>
          <w:sz w:val="30"/>
        </w:rPr>
        <w:t>Real-World Workflow, Evidence, Existing Systems &amp; Differentiation</w:t>
      </w:r>
    </w:p>
    <w:p>
      <w:pPr>
        <w:jc w:val="center"/>
      </w:pPr>
      <w:r>
        <w:rPr>
          <w:i/>
        </w:rPr>
        <w:t>SIH prototype briefing • September 2026</w:t>
      </w:r>
    </w:p>
    <w:p>
      <w:pPr>
        <w:pStyle w:val="Heading1"/>
      </w:pPr>
      <w:r>
        <w:t>1. Executive idea</w:t>
      </w:r>
    </w:p>
    <w:p>
      <w:r>
        <w:t>Public Sector Surplus Exchange is not a replacement for government procurement, asset registers, auctions, or logistics systems. It is an intelligent reuse layer between them. Before a public institution buys something new or disposes of an existing item, the platform asks: does a suitable resource already exist somewhere else in the public ecosystem?</w:t>
      </w:r>
    </w:p>
    <w:p>
      <w:r>
        <w:t>This principle already exists in real government practice. The U.S. General Services Administration (GSA) says agencies should consider excess personal property before authorizing new procurement, and describes screening, declaration of excess, reporting for transfer, and acquisition by other agencies. In India, the General Financial Rules define when goods can be declared surplus/obsolete/unserviceable and prescribe disposal mechanisms. Our proposal turns the reuse opportunity into a structured, data-driven, cross-institution workflow.</w:t>
      </w:r>
    </w:p>
    <w:p>
      <w:pPr>
        <w:pStyle w:val="Heading1"/>
      </w:pPr>
      <w:r>
        <w:t>2. Why this is a real government problem</w:t>
      </w:r>
    </w:p>
    <w:p>
      <w:r>
        <w:t>Public bodies can simultaneously hold surplus resources and raise new requirements. The challenge is not merely missing inventory data; supply and demand can sit in different departments, locations, institutions, or administrative silos. India's SAMPATI system, developed and hosted by the Office of the Controller General of Accounts, Ministry of Finance, provides an electronic asset register for Central Government Ministries/Departments and supports recording, monitoring, verification, transfer and asset history. CAG audit regulations explicitly cover identification of obsolete and surplus stores and disposal through sale and/or transfer to other units or divisions.</w:t>
      </w:r>
    </w:p>
    <w:p>
      <w:r>
        <w:t>Madhya Pradesh provides another concrete example. Its Public Assets Management Department was created to improve management and rationalisation of unutilised and underutilised public assets. Its documented solution includes a web module for uploading such assets and a State Assets Register containing location, survey details and images. The state's own problem statement includes lack of a proper asset database and difficulty identifying unutilised assets across government.</w:t>
      </w:r>
    </w:p>
    <w:p>
      <w:pPr>
        <w:pStyle w:val="Heading1"/>
      </w:pPr>
      <w:r>
        <w:t>3. End-to-end operational workflow</w:t>
      </w:r>
    </w:p>
    <w:p>
      <w:pPr>
        <w:pStyle w:val="Heading2"/>
      </w:pPr>
      <w:r>
        <w:t>1. Institution onboarding</w:t>
      </w:r>
    </w:p>
    <w:p>
      <w:r>
        <w:t>Authorized public institutions are represented with identity, type, location and official contact details. Users authenticate and are associated with an institution and role, establishing accountability for assets and requirements.</w:t>
      </w:r>
    </w:p>
    <w:p>
      <w:pPr>
        <w:pStyle w:val="Heading2"/>
      </w:pPr>
      <w:r>
        <w:t>2. Surplus identification</w:t>
      </w:r>
    </w:p>
    <w:p>
      <w:r>
        <w:t>The competent authority/institution determines that an item is no longer required or is eligible for transfer. The platform does not replace that legal/administrative determination. Under GFR Rule 217, an item may be declared surplus, obsolete or unserviceable when it is of no use to the Ministry/Department, with reasons recorded by the competent authority.</w:t>
      </w:r>
    </w:p>
    <w:p>
      <w:pPr>
        <w:pStyle w:val="Heading2"/>
      </w:pPr>
      <w:r>
        <w:t>3. Asset registration</w:t>
      </w:r>
    </w:p>
    <w:p>
      <w:r>
        <w:t>The supplier registers name, category, quantity, condition, location, estimated value and institutional owner. The backend assigns a persistent asset identity and stores current availability.</w:t>
      </w:r>
    </w:p>
    <w:p>
      <w:pPr>
        <w:pStyle w:val="Heading2"/>
      </w:pPr>
      <w:r>
        <w:t>4. Verification and authorization</w:t>
      </w:r>
    </w:p>
    <w:p>
      <w:r>
        <w:t>The institution can verify quantity, condition, existence and eligibility. The platform recommends reuse, but an authorized official remains responsible for the administrative decision.</w:t>
      </w:r>
    </w:p>
    <w:p>
      <w:pPr>
        <w:pStyle w:val="Heading2"/>
      </w:pPr>
      <w:r>
        <w:t>5. Requirement creation</w:t>
      </w:r>
    </w:p>
    <w:p>
      <w:r>
        <w:t>A receiving institution specifies what it needs, quantity, acceptable condition, location and, where applicable, budget or urgency. This creates a demand record independent of the asset record.</w:t>
      </w:r>
    </w:p>
    <w:p>
      <w:pPr>
        <w:pStyle w:val="Heading2"/>
      </w:pPr>
      <w:r>
        <w:t>6. Candidate discovery and intelligent matching</w:t>
      </w:r>
    </w:p>
    <w:p>
      <w:r>
        <w:t>The matching layer receives structured data from both sides. It can compare asset/category, condition, quantity and location with the requirement and consider fulfillment information. Optimization can help allocate limited supply across multiple requirements.</w:t>
      </w:r>
    </w:p>
    <w:p>
      <w:pPr>
        <w:pStyle w:val="Heading2"/>
      </w:pPr>
      <w:r>
        <w:t>7. Recommendation</w:t>
      </w:r>
    </w:p>
    <w:p>
      <w:r>
        <w:t>A suitable match becomes an allocation recommendation rather than an automatic transfer. It identifies supplier asset, receiving requirement, quantity and estimated fulfillment time. AI recommends; it does not exercise government authority.</w:t>
      </w:r>
    </w:p>
    <w:p>
      <w:pPr>
        <w:pStyle w:val="Heading2"/>
      </w:pPr>
      <w:r>
        <w:t>8. Official review and approval/rejection</w:t>
      </w:r>
    </w:p>
    <w:p>
      <w:r>
        <w:t>An authorized receiving user reviews the recommendation. The backend checks identity, institution ownership, allocation state and available quantity. Approval changes the allocation to approved; rejection leaves the asset available.</w:t>
      </w:r>
    </w:p>
    <w:p>
      <w:pPr>
        <w:pStyle w:val="Heading2"/>
      </w:pPr>
      <w:r>
        <w:t>9. Inventory update</w:t>
      </w:r>
    </w:p>
    <w:p>
      <w:r>
        <w:t>On approval, the allocated quantity is removed from the supplier's available quantity, preventing double allocation. Remaining inventory stays visible for future matching.</w:t>
      </w:r>
    </w:p>
    <w:p>
      <w:pPr>
        <w:pStyle w:val="Heading2"/>
      </w:pPr>
      <w:r>
        <w:t>10. Pickup scheduling</w:t>
      </w:r>
    </w:p>
    <w:p>
      <w:r>
        <w:t>After approval, the physical transfer begins. A pickup event records when/where collection occurs and who is responsible.</w:t>
      </w:r>
    </w:p>
    <w:p>
      <w:pPr>
        <w:pStyle w:val="Heading2"/>
      </w:pPr>
      <w:r>
        <w:t>11. Dispatch</w:t>
      </w:r>
    </w:p>
    <w:p>
      <w:r>
        <w:t>When the asset leaves the supplier, the allocation becomes dispatched. Administrative approval and physical movement are kept distinct.</w:t>
      </w:r>
    </w:p>
    <w:p>
      <w:pPr>
        <w:pStyle w:val="Heading2"/>
      </w:pPr>
      <w:r>
        <w:t>12. In-transit tracking</w:t>
      </w:r>
    </w:p>
    <w:p>
      <w:r>
        <w:t>The receiving institution can see that the asset is physically in transit, with an estimated fulfillment/arrival window.</w:t>
      </w:r>
    </w:p>
    <w:p>
      <w:pPr>
        <w:pStyle w:val="Heading2"/>
      </w:pPr>
      <w:r>
        <w:t>13. Delivery</w:t>
      </w:r>
    </w:p>
    <w:p>
      <w:r>
        <w:t>The receiving institution is notified that the asset has arrived. Delivery records the allocation, quantity and timestamp.</w:t>
      </w:r>
    </w:p>
    <w:p>
      <w:pPr>
        <w:pStyle w:val="Heading2"/>
      </w:pPr>
      <w:r>
        <w:t>14. Receipt confirmation</w:t>
      </w:r>
    </w:p>
    <w:p>
      <w:r>
        <w:t>An authorized receiving user confirms that the expected quantity and condition were received, closing the operational loop.</w:t>
      </w:r>
    </w:p>
    <w:p>
      <w:pPr>
        <w:pStyle w:val="Heading2"/>
      </w:pPr>
      <w:r>
        <w:t>15. Audit trail and closure</w:t>
      </w:r>
    </w:p>
    <w:p>
      <w:r>
        <w:t>Each material action is logged with the responsible user, action, asset/allocation reference and details, creating a reconstructable history from listing through receipt.</w:t>
      </w:r>
    </w:p>
    <w:p>
      <w:pPr>
        <w:pStyle w:val="Heading1"/>
      </w:pPr>
      <w:r>
        <w:t>4. What the prototype should visibly demonstrate</w:t>
      </w:r>
    </w:p>
    <w:p>
      <w:r>
        <w:t>The strongest demo follows one allocation from beginning to end: supplier asset → receiving requirement → AI recommendation → official approval/rejection → pickup → dispatch → transit → delivery → receipt → audit history. The ideal lifecycle is: Asset registered → verified/available → requirement created → intelligent candidate match → allocation recommended → official approved/rejected → pickup scheduled → dispatched → in transit → delivered → receipt confirmed → completed.</w:t>
      </w:r>
    </w:p>
    <w:p>
      <w:r>
        <w:t>This is what gives the prototype operational depth. The database is the system of record; the matching engine is the decision-support layer; authorization is the governance layer; logistics is the execution layer; and the audit trail is the accountability layer.</w:t>
      </w:r>
    </w:p>
    <w:p>
      <w:pPr>
        <w:pStyle w:val="Heading1"/>
      </w:pPr>
      <w:r>
        <w:t>5. Real-world Indian systems: what already exists</w:t>
      </w:r>
    </w:p>
    <w:tbl>
      <w:tblPr>
        <w:tblStyle w:val="TableGrid"/>
        <w:tblW w:type="auto" w:w="0"/>
        <w:tblLook w:firstColumn="1" w:firstRow="1" w:lastColumn="0" w:lastRow="0" w:noHBand="0" w:noVBand="1" w:val="04A0"/>
      </w:tblPr>
      <w:tblGrid>
        <w:gridCol w:w="3360"/>
        <w:gridCol w:w="3360"/>
        <w:gridCol w:w="3360"/>
      </w:tblGrid>
      <w:tr>
        <w:tc>
          <w:tcPr>
            <w:tcW w:type="dxa" w:w="3360"/>
          </w:tcPr>
          <w:p>
            <w:r>
              <w:t>Existing system</w:t>
            </w:r>
          </w:p>
        </w:tc>
        <w:tc>
          <w:tcPr>
            <w:tcW w:type="dxa" w:w="3360"/>
          </w:tcPr>
          <w:p>
            <w:r>
              <w:t>What it does</w:t>
            </w:r>
          </w:p>
        </w:tc>
        <w:tc>
          <w:tcPr>
            <w:tcW w:type="dxa" w:w="3360"/>
          </w:tcPr>
          <w:p>
            <w:r>
              <w:t>Where our layer fits</w:t>
            </w:r>
          </w:p>
        </w:tc>
      </w:tr>
      <w:tr>
        <w:tc>
          <w:tcPr>
            <w:tcW w:type="dxa" w:w="3360"/>
          </w:tcPr>
          <w:p>
            <w:r>
              <w:t>SAMPATI (CGA, Ministry of Finance)</w:t>
            </w:r>
          </w:p>
        </w:tc>
        <w:tc>
          <w:tcPr>
            <w:tcW w:type="dxa" w:w="3360"/>
          </w:tcPr>
          <w:p>
            <w:r>
              <w:t>Electronic asset register for Central Government Ministries/Departments; supports recording, verification, transfers within/between ministries and asset histories.</w:t>
            </w:r>
          </w:p>
        </w:tc>
        <w:tc>
          <w:tcPr>
            <w:tcW w:type="dxa" w:w="3360"/>
          </w:tcPr>
          <w:p>
            <w:r>
              <w:t>Complement it: add cross-institution demand discovery and intelligent reuse allocation before procurement/disposal.</w:t>
            </w:r>
          </w:p>
        </w:tc>
      </w:tr>
      <w:tr>
        <w:tc>
          <w:tcPr>
            <w:tcW w:type="dxa" w:w="3360"/>
          </w:tcPr>
          <w:p>
            <w:r>
              <w:t>GeM Forward Auction</w:t>
            </w:r>
          </w:p>
        </w:tc>
        <w:tc>
          <w:tcPr>
            <w:tcW w:type="dxa" w:w="3360"/>
          </w:tcPr>
          <w:p>
            <w:r>
              <w:t>Digital disposal of government assets and scrap. Official 2025 government material reports ₹2,200+ crore auctioned from Dec. 2021–Nov. 2025 across 13,000+ auctions and 23,000+ registered bidders.</w:t>
            </w:r>
          </w:p>
        </w:tc>
        <w:tc>
          <w:tcPr>
            <w:tcW w:type="dxa" w:w="3360"/>
          </w:tcPr>
          <w:p>
            <w:r>
              <w:t>Our workflow is upstream of disposal: first ask whether another public institution can reuse the asset; then use normal disposal/auction routes when reuse is unsuitable.</w:t>
            </w:r>
          </w:p>
        </w:tc>
      </w:tr>
      <w:tr>
        <w:tc>
          <w:tcPr>
            <w:tcW w:type="dxa" w:w="3360"/>
          </w:tcPr>
          <w:p>
            <w:r>
              <w:t>Madhya Pradesh Public Assets Management</w:t>
            </w:r>
          </w:p>
        </w:tc>
        <w:tc>
          <w:tcPr>
            <w:tcW w:type="dxa" w:w="3360"/>
          </w:tcPr>
          <w:p>
            <w:r>
              <w:t>State department, web module and State Assets Register for unutilised/underutilised assets, with location, survey details and images.</w:t>
            </w:r>
          </w:p>
        </w:tc>
        <w:tc>
          <w:tcPr>
            <w:tcW w:type="dxa" w:w="3360"/>
          </w:tcPr>
          <w:p>
            <w:r>
              <w:t>Focus on transaction-level reuse matching between supply and unmet institutional demand rather than primarily monetisation.</w:t>
            </w:r>
          </w:p>
        </w:tc>
      </w:tr>
      <w:tr>
        <w:tc>
          <w:tcPr>
            <w:tcW w:type="dxa" w:w="3360"/>
          </w:tcPr>
          <w:p>
            <w:r>
              <w:t>CAG audit framework</w:t>
            </w:r>
          </w:p>
        </w:tc>
        <w:tc>
          <w:tcPr>
            <w:tcW w:type="dxa" w:w="3360"/>
          </w:tcPr>
          <w:p>
            <w:r>
              <w:t>Covers identification of obsolete/surplus stores and disposal by sale and/or transfer to other units/divisions, with accounting and audit controls.</w:t>
            </w:r>
          </w:p>
        </w:tc>
        <w:tc>
          <w:tcPr>
            <w:tcW w:type="dxa" w:w="3360"/>
          </w:tcPr>
          <w:p>
            <w:r>
              <w:t>Make these controls first-class digital events with user/institution/asset traceability.</w:t>
            </w:r>
          </w:p>
        </w:tc>
      </w:tr>
    </w:tbl>
    <w:p>
      <w:pPr>
        <w:pStyle w:val="Heading1"/>
      </w:pPr>
      <w:r>
        <w:t>6. Companies and platforms that prove the model is commercially real</w:t>
      </w:r>
    </w:p>
    <w:p>
      <w:r>
        <w:t>The concept is already commercially validated in the private sector. That is useful evidence: organisations pay for software that finds second lives for surplus assets. Our differentiation is the public-sector control model, institutional demand, authorization and government transfer workflow.</w:t>
      </w:r>
    </w:p>
    <w:p>
      <w:pPr>
        <w:pStyle w:val="Heading2"/>
      </w:pPr>
      <w:r>
        <w:t>Rheaply</w:t>
      </w:r>
    </w:p>
    <w:p>
      <w:r>
        <w:t>Rheaply provides asset visibility, internal reuse, approvals, sustainable disposition and impact reporting. It says its platform tracks asset location, condition and value and supports reallocation instead of repurchasing. Its site reports customer outcomes including 53,000 pounds of furniture waste diverted by RUSH University Medical Center and a $187,000 resource-exchange saving for a biopharma customer.</w:t>
      </w:r>
    </w:p>
    <w:p>
      <w:pPr>
        <w:pStyle w:val="Heading2"/>
      </w:pPr>
      <w:r>
        <w:t>Globechain</w:t>
      </w:r>
    </w:p>
    <w:p>
      <w:r>
        <w:t>Globechain is a corporate reuse marketplace where organisations identify surplus items, list them, receive reuse requests, arrange collection and capture impact data. Its site reports 10,000+ members and describes a workflow spanning listing, matching, collection and reporting.</w:t>
      </w:r>
    </w:p>
    <w:p>
      <w:pPr>
        <w:pStyle w:val="Heading1"/>
      </w:pPr>
      <w:r>
        <w:t>7. Closest global government analogue: U.S. GSA</w:t>
      </w:r>
    </w:p>
    <w:p>
      <w:r>
        <w:t>GSA states that agencies should first offer unneeded personal property for use elsewhere within the agency. If nobody needs it, the property can be declared excess and reported for possible transfer to other federal agencies or eligible recipients. GSA also states that, to the maximum extent practicable, agencies should satisfy requirements using existing agency property or excess property instead of new procurement.</w:t>
      </w:r>
    </w:p>
    <w:p>
      <w:r>
        <w:t>This is close to our core principle: procurement should not always begin with a new purchase. There should be a structured opportunity to discover and reuse an existing public resource first. GSA's process also demonstrates why authorization, official-use restrictions, inventory assessment and transportation responsibility matter.</w:t>
      </w:r>
    </w:p>
    <w:p>
      <w:pPr>
        <w:pStyle w:val="Heading1"/>
      </w:pPr>
      <w:r>
        <w:t>8. Research evidence behind the idea</w:t>
      </w:r>
    </w:p>
    <w:p>
      <w:pPr>
        <w:pStyle w:val="Heading2"/>
      </w:pPr>
      <w:r>
        <w:t>Alhola et al., Journal of Industrial Ecology (2019)</w:t>
      </w:r>
    </w:p>
    <w:p>
      <w:r>
        <w:t>Public procurement is an important but underexploited mechanism for maintaining product/material value and closing material loops.</w:t>
      </w:r>
    </w:p>
    <w:p>
      <w:pPr>
        <w:pStyle w:val="Heading2"/>
      </w:pPr>
      <w:r>
        <w:t>Research Policy (2021), Stimulating a more Circular Economy through Public Procurement</w:t>
      </w:r>
    </w:p>
    <w:p>
      <w:r>
        <w:t>The study highlights intermediaries that connect demand and supply and notes the challenge of maintaining momentum across transfers of responsibility.</w:t>
      </w:r>
    </w:p>
    <w:p>
      <w:pPr>
        <w:pStyle w:val="Heading2"/>
      </w:pPr>
      <w:r>
        <w:t>Journal of Cleaner Production (2023), Circular economy a push and pull mechanism – Recycling starts before purchasing</w:t>
      </w:r>
    </w:p>
    <w:p>
      <w:r>
        <w:t>Research on public IT procurement examines how circular criteria can encourage reuse/recycling, supporting the idea that circularity should influence purchasing before a new product is bought.</w:t>
      </w:r>
    </w:p>
    <w:p>
      <w:pPr>
        <w:pStyle w:val="Heading2"/>
      </w:pPr>
      <w:r>
        <w:t>Journal of Purchasing and Supply Management (2024), The impact of public procurement on the adoption of circular economy practices</w:t>
      </w:r>
    </w:p>
    <w:p>
      <w:r>
        <w:t>The study examines how public procurement affects adoption of circular-economy practices, supporting procurement as a lever for circularity.</w:t>
      </w:r>
    </w:p>
    <w:p>
      <w:pPr>
        <w:pStyle w:val="Heading2"/>
      </w:pPr>
      <w:r>
        <w:t>Journal of Public Procurement (2026), Scaling the implementation of circular economy requirements in public procurement for construction projects</w:t>
      </w:r>
    </w:p>
    <w:p>
      <w:r>
        <w:t>Recent municipal case research identifies organisational alignment, knowledge, collaboration and supply-demand timing as practical barriers to circular procurement.</w:t>
      </w:r>
    </w:p>
    <w:p>
      <w:pPr>
        <w:pStyle w:val="Heading1"/>
      </w:pPr>
      <w:r>
        <w:t>9. What makes our system different?</w:t>
      </w:r>
    </w:p>
    <w:p>
      <w:pPr>
        <w:pStyle w:val="ListBullet"/>
      </w:pPr>
      <w:r>
        <w:rPr>
          <w:b/>
        </w:rPr>
        <w:t xml:space="preserve">Reuse before procurement/disposal: </w:t>
      </w:r>
      <w:r>
        <w:t>Create a deliberate decision point: can an existing public asset satisfy the requirement before buying new or disposing of surplus?</w:t>
      </w:r>
    </w:p>
    <w:p>
      <w:pPr>
        <w:pStyle w:val="ListBullet"/>
      </w:pPr>
      <w:r>
        <w:rPr>
          <w:b/>
        </w:rPr>
        <w:t xml:space="preserve">Cross-institution demand matching: </w:t>
      </w:r>
      <w:r>
        <w:t>Connect an institution's surplus to another institution's unmet requirement.</w:t>
      </w:r>
    </w:p>
    <w:p>
      <w:pPr>
        <w:pStyle w:val="ListBullet"/>
      </w:pPr>
      <w:r>
        <w:rPr>
          <w:b/>
        </w:rPr>
        <w:t xml:space="preserve">AI as decision support, not authority: </w:t>
      </w:r>
      <w:r>
        <w:t>AI recommends candidates and allocations; authorized officials approve.</w:t>
      </w:r>
    </w:p>
    <w:p>
      <w:pPr>
        <w:pStyle w:val="ListBullet"/>
      </w:pPr>
      <w:r>
        <w:rPr>
          <w:b/>
        </w:rPr>
        <w:t xml:space="preserve">Optimization: </w:t>
      </w:r>
      <w:r>
        <w:t>When supply and demand compete, optimization can allocate resources using declared criteria such as compatibility, location, quantity and fulfillment constraints.</w:t>
      </w:r>
    </w:p>
    <w:p>
      <w:pPr>
        <w:pStyle w:val="ListBullet"/>
      </w:pPr>
      <w:r>
        <w:rPr>
          <w:b/>
        </w:rPr>
        <w:t xml:space="preserve">End-to-end transfer lifecycle: </w:t>
      </w:r>
      <w:r>
        <w:t>Extend discovery through approval, pickup, dispatch, transit, delivery and receipt.</w:t>
      </w:r>
    </w:p>
    <w:p>
      <w:pPr>
        <w:pStyle w:val="ListBullet"/>
      </w:pPr>
      <w:r>
        <w:rPr>
          <w:b/>
        </w:rPr>
        <w:t xml:space="preserve">Auditability: </w:t>
      </w:r>
      <w:r>
        <w:t>Tie critical actions to users, institutions, assets/allocations and timestamps.</w:t>
      </w:r>
    </w:p>
    <w:p>
      <w:pPr>
        <w:pStyle w:val="ListBullet"/>
      </w:pPr>
      <w:r>
        <w:rPr>
          <w:b/>
        </w:rPr>
        <w:t xml:space="preserve">Public-sector controls: </w:t>
      </w:r>
      <w:r>
        <w:t>Design around institutional identity, roles, authorization boundaries and public ownership rather than an open consumer marketplace.</w:t>
      </w:r>
    </w:p>
    <w:p>
      <w:pPr>
        <w:pStyle w:val="ListBullet"/>
      </w:pPr>
      <w:r>
        <w:rPr>
          <w:b/>
        </w:rPr>
        <w:t xml:space="preserve">Impact measurement: </w:t>
      </w:r>
      <w:r>
        <w:t>Measure procurement avoided, asset value reused, waste diverted and, when reliable factors exist, environmental indicators.</w:t>
      </w:r>
    </w:p>
    <w:p>
      <w:pPr>
        <w:pStyle w:val="Heading1"/>
      </w:pPr>
      <w:r>
        <w:t>10. Example: 20 surplus computers → 15 needed computers</w:t>
      </w:r>
    </w:p>
    <w:p>
      <w:r>
        <w:t>Government Polytechnic A has 20 functioning desktop computers after a lab upgrade and has completed the applicable internal process to make them available for transfer. The asset is registered with quantity 20, good condition, Mumbai location and official supplier contact. Government School B creates a requirement for 15 good-condition desktop computers in Mumbai. The matching layer identifies the Polytechnic's asset as a suitable candidate. An allocation of 15 units is recommended with an estimated fulfillment time such as 3–5 days. School B's authorized official reviews and approves it. The backend verifies that the allocation belongs to School B's requirement and that at least 15 units remain. Available quantity falls from 20 to 5. Pickup is scheduled, the assets are dispatched, marked in transit, delivered and receipt-confirmed. The transaction closes with an audit history. The result is not merely a successful match: it is a traceable public-resource transfer that can be measured as reuse instead of a new procurement.</w:t>
      </w:r>
    </w:p>
    <w:p>
      <w:pPr>
        <w:pStyle w:val="Heading1"/>
      </w:pPr>
      <w:r>
        <w:t>11. What we should and should not claim</w:t>
      </w:r>
    </w:p>
    <w:p>
      <w:r>
        <w:t>We should say: existing government systems already manage assets and disposal; our proposal adds an intelligent reuse layer that connects surplus supply with unmet public demand and provides a controlled allocation workflow.</w:t>
      </w:r>
    </w:p>
    <w:p>
      <w:r>
        <w:t>We should not say: no system exists; GeM cannot dispose of assets; SAMPATI cannot transfer assets; or our platform automatically authorizes government transfers. Those claims would be contradicted by real systems and regulations.</w:t>
      </w:r>
    </w:p>
    <w:p>
      <w:r>
        <w:t>We should also avoid inventing a national savings figure. For the prototype, savings should be transaction-level or scenario-level estimates based on avoided procurement cost and documented asset value, with assumptions clearly labelled.</w:t>
      </w:r>
    </w:p>
    <w:p>
      <w:pPr>
        <w:pStyle w:val="Heading1"/>
      </w:pPr>
      <w:r>
        <w:t>12. One-minute judge explanation</w:t>
      </w:r>
    </w:p>
    <w:p>
      <w:r>
        <w:t>“The problem we are solving is not that governments have no asset-management software. India already has systems such as SAMPATI for asset registers and GeM for procurement and digital disposal. The gap is the reuse decision between those worlds. A government school may need computers while another public institution has usable computers sitting idle. Our platform registers the surplus, captures institutional ownership and condition, records the receiving requirement, and uses an intelligent matching layer to recommend a suitable allocation. The recommendation does not bypass government authority: an authorized official approves or rejects it. Once approved, the transfer becomes an operational workflow—pickup, dispatch, transit, delivery and receipt—with every critical action auditable. So our product is not another marketplace; it is a reuse-first decision and execution layer for public resources, designed to complement existing government asset, procurement and disposal systems.”</w:t>
      </w:r>
    </w:p>
    <w:p>
      <w:pPr>
        <w:pStyle w:val="Heading1"/>
      </w:pPr>
      <w:r>
        <w:t>13. Evidence &amp; source links</w:t>
      </w:r>
    </w:p>
    <w:p>
      <w:pPr>
        <w:pStyle w:val="ListBullet"/>
      </w:pPr>
      <w:r>
        <w:rPr>
          <w:b/>
        </w:rPr>
        <w:t xml:space="preserve">SAMPATI — CGA, Ministry of Finance — </w:t>
      </w:r>
      <w:r>
        <w:t>https://sampati.cga.gov.in/</w:t>
      </w:r>
    </w:p>
    <w:p>
      <w:pPr>
        <w:pStyle w:val="ListBullet"/>
      </w:pPr>
      <w:r>
        <w:rPr>
          <w:b/>
        </w:rPr>
        <w:t xml:space="preserve">PIB — GeM Forward Auction data — </w:t>
      </w:r>
      <w:r>
        <w:t>https://www.pib.gov.in/PressReleasePage.aspx?PRID=2207152&amp;lang=2&amp;reg=3</w:t>
      </w:r>
    </w:p>
    <w:p>
      <w:pPr>
        <w:pStyle w:val="ListBullet"/>
      </w:pPr>
      <w:r>
        <w:rPr>
          <w:b/>
        </w:rPr>
        <w:t xml:space="preserve">Department of Expenditure — GFR Rule 217/218 — </w:t>
      </w:r>
      <w:r>
        <w:t>https://doe.gov.in/files/circulars_document/Compilation_of_amendments_in_GFR_2017_upto_31_01_2023_2.pdf</w:t>
      </w:r>
    </w:p>
    <w:p>
      <w:pPr>
        <w:pStyle w:val="ListBullet"/>
      </w:pPr>
      <w:r>
        <w:rPr>
          <w:b/>
        </w:rPr>
        <w:t xml:space="preserve">CAG — Audit Regulations — </w:t>
      </w:r>
      <w:r>
        <w:t>https://cag.gov.in/en/page-audit-regulations</w:t>
      </w:r>
    </w:p>
    <w:p>
      <w:pPr>
        <w:pStyle w:val="ListBullet"/>
      </w:pPr>
      <w:r>
        <w:rPr>
          <w:b/>
        </w:rPr>
        <w:t xml:space="preserve">Government of India PPP portal — MP Public Assets Management — </w:t>
      </w:r>
      <w:r>
        <w:t>https://www.pppinindia.gov.in/bestpractices/best-practice-detail/public-assets-management</w:t>
      </w:r>
    </w:p>
    <w:p>
      <w:pPr>
        <w:pStyle w:val="ListBullet"/>
      </w:pPr>
      <w:r>
        <w:rPr>
          <w:b/>
        </w:rPr>
        <w:t xml:space="preserve">GSA — Acquiring excess federal personal property — </w:t>
      </w:r>
      <w:r>
        <w:t>https://www.gsa.gov/reference/acquiring-excess-federal-personal-property</w:t>
      </w:r>
    </w:p>
    <w:p>
      <w:pPr>
        <w:pStyle w:val="ListBullet"/>
      </w:pPr>
      <w:r>
        <w:rPr>
          <w:b/>
        </w:rPr>
        <w:t xml:space="preserve">GSA — Personal property management — </w:t>
      </w:r>
      <w:r>
        <w:t>https://www.gsa.gov/buy-through-us/government-property-for-sale-or-lease/office-of-personal-property-management/personal-property-management-for-federal-agencies</w:t>
      </w:r>
    </w:p>
    <w:p>
      <w:pPr>
        <w:pStyle w:val="ListBullet"/>
      </w:pPr>
      <w:r>
        <w:rPr>
          <w:b/>
        </w:rPr>
        <w:t xml:space="preserve">Rheaply — </w:t>
      </w:r>
      <w:r>
        <w:t>https://rheaply.com/</w:t>
      </w:r>
    </w:p>
    <w:p>
      <w:pPr>
        <w:pStyle w:val="ListBullet"/>
      </w:pPr>
      <w:r>
        <w:rPr>
          <w:b/>
        </w:rPr>
        <w:t xml:space="preserve">Globechain — </w:t>
      </w:r>
      <w:r>
        <w:t>https://marketplace.globechain.com/</w:t>
      </w:r>
    </w:p>
    <w:p>
      <w:pPr>
        <w:pStyle w:val="ListBullet"/>
      </w:pPr>
      <w:r>
        <w:rPr>
          <w:b/>
        </w:rPr>
        <w:t xml:space="preserve">Alhola et al. — Journal of Industrial Ecology — </w:t>
      </w:r>
      <w:r>
        <w:t>https://doi.org/10.1111/jiec.12770</w:t>
      </w:r>
    </w:p>
    <w:p>
      <w:pPr>
        <w:pStyle w:val="ListBullet"/>
      </w:pPr>
      <w:r>
        <w:rPr>
          <w:b/>
        </w:rPr>
        <w:t xml:space="preserve">Research Policy (2021) — </w:t>
      </w:r>
      <w:r>
        <w:t>https://doi.org/10.1016/j.respol.2020.104193</w:t>
      </w:r>
    </w:p>
    <w:p>
      <w:pPr>
        <w:pStyle w:val="ListBullet"/>
      </w:pPr>
      <w:r>
        <w:rPr>
          <w:b/>
        </w:rPr>
        <w:t xml:space="preserve">Journal of Cleaner Production (2023) — </w:t>
      </w:r>
      <w:r>
        <w:t>https://doi.org/10.1016/j.jclepro.2023.139363</w:t>
      </w:r>
    </w:p>
    <w:p>
      <w:pPr>
        <w:pStyle w:val="ListBullet"/>
      </w:pPr>
      <w:r>
        <w:rPr>
          <w:b/>
        </w:rPr>
        <w:t xml:space="preserve">Journal of Purchasing and Supply Management (2024) — </w:t>
      </w:r>
      <w:r>
        <w:t>https://doi.org/10.1016/j.pursup.2024.100907</w:t>
      </w:r>
    </w:p>
    <w:p>
      <w:pPr>
        <w:pStyle w:val="ListBullet"/>
      </w:pPr>
      <w:r>
        <w:rPr>
          <w:b/>
        </w:rPr>
        <w:t xml:space="preserve">Journal of Public Procurement (2026) — </w:t>
      </w:r>
      <w:r>
        <w:t>https://doi.org/10.1108/JOPP-05-2025-0049</w:t>
      </w:r>
    </w:p>
    <w:p>
      <w:r>
        <w:t>Evidence note: Company-reported impact metrics are presented as claims from those companies, not independently audited national statistics. Government figures, rules and system capabilities are taken from official government sources.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