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rPr>
        <w:t xml:space="preserve">Lakive Social Media Internal Standard</w:t>
      </w:r>
    </w:p>
    <w:p>
      <w:pPr>
        <w:spacing w:after="240"/>
      </w:pPr>
      <w:r>
        <w:rPr>
          <w:color w:val="6B7280"/>
          <w:sz w:val="20"/>
          <w:szCs w:val="20"/>
        </w:rPr>
        <w:t xml:space="preserve">Version 1.1  ·  July 2026  ·  Internal Working Standard</w:t>
      </w:r>
    </w:p>
    <w:p>
      <w:pPr>
        <w:spacing w:after="120"/>
      </w:pPr>
      <w:r>
        <w:t xml:space="preserve">This document defines the internal standards for all Lakive social media content across Instagram, Threads, X, LinkedIn, Facebook and TikTok. The objective is to ensure every post is consistent, trustworthy, legally safe, readable, and recognizable as Lakive.</w:t>
      </w:r>
    </w:p>
    <w:p>
      <w:pPr>
        <w:pStyle w:val="Heading1"/>
        <w:spacing w:after="120" w:before="300"/>
      </w:pPr>
      <w:r>
        <w:rPr>
          <w:b/>
          <w:bCs/>
          <w:color w:val="0F1623"/>
        </w:rPr>
        <w:t xml:space="preserve">1. Brand Consistency</w:t>
      </w:r>
    </w:p>
    <w:p>
      <w:pPr>
        <w:pStyle w:val="ListParagraph"/>
        <w:numPr>
          <w:ilvl w:val="0"/>
          <w:numId w:val="2"/>
        </w:numPr>
        <w:spacing w:after="60"/>
      </w:pPr>
      <w:r>
        <w:t xml:space="preserve">Use one official logo lockup only: Lakive logo + tagline. No boxed, framed, or alternative lockups.</w:t>
      </w:r>
    </w:p>
    <w:p>
      <w:pPr>
        <w:pStyle w:val="ListParagraph"/>
        <w:numPr>
          <w:ilvl w:val="0"/>
          <w:numId w:val="2"/>
        </w:numPr>
        <w:spacing w:after="60"/>
      </w:pPr>
      <w:r>
        <w:t xml:space="preserve">Tagline, exactly and always: "From Data to Belonging" — title case, NO period. Published assets and product UI that still carry the period must be migrated at their next update.</w:t>
      </w:r>
    </w:p>
    <w:p>
      <w:pPr>
        <w:pStyle w:val="ListParagraph"/>
        <w:numPr>
          <w:ilvl w:val="0"/>
          <w:numId w:val="2"/>
        </w:numPr>
        <w:spacing w:after="60"/>
      </w:pPr>
      <w:r>
        <w:t xml:space="preserve">Typography: Inter Bold (headlines), Inter Regular (body), IBM Plex Mono (numbers).</w:t>
      </w:r>
    </w:p>
    <w:p>
      <w:pPr>
        <w:pStyle w:val="ListParagraph"/>
        <w:numPr>
          <w:ilvl w:val="0"/>
          <w:numId w:val="2"/>
        </w:numPr>
        <w:spacing w:after="60"/>
      </w:pPr>
      <w:r>
        <w:t xml:space="preserve">Color palette is aligned to the live product (single source of truth = codebase):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180"/>
        <w:gridCol w:w="2380"/>
        <w:gridCol w:w="3980"/>
      </w:tblGrid>
      <w:tr>
        <w:tc>
          <w:tcPr>
            <w:tcW w:type="dxa" w:w="3180"/>
            <w:shd w:fill="EEF2F6" w:val="clear"/>
            <w:tcMar>
              <w:top w:type="dxa" w:w="60"/>
              <w:left w:type="dxa" w:w="120"/>
              <w:bottom w:type="dxa" w:w="60"/>
              <w:right w:type="dxa" w:w="120"/>
            </w:tcMar>
          </w:tcPr>
          <w:p>
            <w:r>
              <w:rPr>
                <w:b/>
                <w:bCs/>
                <w:sz w:val="20"/>
                <w:szCs w:val="20"/>
              </w:rPr>
              <w:t xml:space="preserve">Role</w:t>
            </w:r>
          </w:p>
        </w:tc>
        <w:tc>
          <w:tcPr>
            <w:tcW w:type="dxa" w:w="2380"/>
            <w:shd w:fill="EEF2F6" w:val="clear"/>
            <w:tcMar>
              <w:top w:type="dxa" w:w="60"/>
              <w:left w:type="dxa" w:w="120"/>
              <w:bottom w:type="dxa" w:w="60"/>
              <w:right w:type="dxa" w:w="120"/>
            </w:tcMar>
          </w:tcPr>
          <w:p>
            <w:r>
              <w:rPr>
                <w:b/>
                <w:bCs/>
                <w:sz w:val="20"/>
                <w:szCs w:val="20"/>
              </w:rPr>
              <w:t xml:space="preserve">Hex</w:t>
            </w:r>
          </w:p>
        </w:tc>
        <w:tc>
          <w:tcPr>
            <w:tcW w:type="dxa" w:w="3980"/>
            <w:shd w:fill="EEF2F6" w:val="clear"/>
            <w:tcMar>
              <w:top w:type="dxa" w:w="60"/>
              <w:left w:type="dxa" w:w="120"/>
              <w:bottom w:type="dxa" w:w="60"/>
              <w:right w:type="dxa" w:w="120"/>
            </w:tcMar>
          </w:tcPr>
          <w:p>
            <w:r>
              <w:rPr>
                <w:b/>
                <w:bCs/>
                <w:sz w:val="20"/>
                <w:szCs w:val="20"/>
              </w:rPr>
              <w:t xml:space="preserve">Notes</w:t>
            </w:r>
          </w:p>
        </w:tc>
      </w:tr>
      <w:tr>
        <w:tc>
          <w:tcPr>
            <w:tcW w:type="dxa" w:w="3180"/>
            <w:tcMar>
              <w:top w:type="dxa" w:w="60"/>
              <w:left w:type="dxa" w:w="120"/>
              <w:bottom w:type="dxa" w:w="60"/>
              <w:right w:type="dxa" w:w="120"/>
            </w:tcMar>
          </w:tcPr>
          <w:p>
            <w:r>
              <w:rPr>
                <w:b w:val="false"/>
                <w:bCs w:val="false"/>
                <w:sz w:val="20"/>
                <w:szCs w:val="20"/>
              </w:rPr>
              <w:t xml:space="preserve">Background (dark)</w:t>
            </w:r>
          </w:p>
        </w:tc>
        <w:tc>
          <w:tcPr>
            <w:tcW w:type="dxa" w:w="2380"/>
            <w:tcMar>
              <w:top w:type="dxa" w:w="60"/>
              <w:left w:type="dxa" w:w="120"/>
              <w:bottom w:type="dxa" w:w="60"/>
              <w:right w:type="dxa" w:w="120"/>
            </w:tcMar>
          </w:tcPr>
          <w:p>
            <w:r>
              <w:rPr>
                <w:b w:val="false"/>
                <w:bCs w:val="false"/>
                <w:sz w:val="20"/>
                <w:szCs w:val="20"/>
              </w:rPr>
              <w:t xml:space="preserve">#0F1623</w:t>
            </w:r>
          </w:p>
        </w:tc>
        <w:tc>
          <w:tcPr>
            <w:tcW w:type="dxa" w:w="3980"/>
            <w:tcMar>
              <w:top w:type="dxa" w:w="60"/>
              <w:left w:type="dxa" w:w="120"/>
              <w:bottom w:type="dxa" w:w="60"/>
              <w:right w:type="dxa" w:w="120"/>
            </w:tcMar>
          </w:tcPr>
          <w:p>
            <w:r>
              <w:rPr>
                <w:b w:val="false"/>
                <w:bCs w:val="false"/>
                <w:sz w:val="20"/>
                <w:szCs w:val="20"/>
              </w:rPr>
              <w:t xml:space="preserve">Primary canvas for social cards</w:t>
            </w:r>
          </w:p>
        </w:tc>
      </w:tr>
      <w:tr>
        <w:tc>
          <w:tcPr>
            <w:tcW w:type="dxa" w:w="3180"/>
            <w:tcMar>
              <w:top w:type="dxa" w:w="60"/>
              <w:left w:type="dxa" w:w="120"/>
              <w:bottom w:type="dxa" w:w="60"/>
              <w:right w:type="dxa" w:w="120"/>
            </w:tcMar>
          </w:tcPr>
          <w:p>
            <w:r>
              <w:rPr>
                <w:b w:val="false"/>
                <w:bCs w:val="false"/>
                <w:sz w:val="20"/>
                <w:szCs w:val="20"/>
              </w:rPr>
              <w:t xml:space="preserve">Accent — Teal</w:t>
            </w:r>
          </w:p>
        </w:tc>
        <w:tc>
          <w:tcPr>
            <w:tcW w:type="dxa" w:w="2380"/>
            <w:tcMar>
              <w:top w:type="dxa" w:w="60"/>
              <w:left w:type="dxa" w:w="120"/>
              <w:bottom w:type="dxa" w:w="60"/>
              <w:right w:type="dxa" w:w="120"/>
            </w:tcMar>
          </w:tcPr>
          <w:p>
            <w:r>
              <w:rPr>
                <w:b w:val="false"/>
                <w:bCs w:val="false"/>
                <w:sz w:val="20"/>
                <w:szCs w:val="20"/>
              </w:rPr>
              <w:t xml:space="preserve">#14B8A6</w:t>
            </w:r>
          </w:p>
        </w:tc>
        <w:tc>
          <w:tcPr>
            <w:tcW w:type="dxa" w:w="3980"/>
            <w:tcMar>
              <w:top w:type="dxa" w:w="60"/>
              <w:left w:type="dxa" w:w="120"/>
              <w:bottom w:type="dxa" w:w="60"/>
              <w:right w:type="dxa" w:w="120"/>
            </w:tcMar>
          </w:tcPr>
          <w:p>
            <w:r>
              <w:rPr>
                <w:b w:val="false"/>
                <w:bCs w:val="false"/>
                <w:sz w:val="20"/>
                <w:szCs w:val="20"/>
              </w:rPr>
              <w:t xml:space="preserve">Brand accent, positive scores, CTAs</w:t>
            </w:r>
          </w:p>
        </w:tc>
      </w:tr>
      <w:tr>
        <w:tc>
          <w:tcPr>
            <w:tcW w:type="dxa" w:w="3180"/>
            <w:tcMar>
              <w:top w:type="dxa" w:w="60"/>
              <w:left w:type="dxa" w:w="120"/>
              <w:bottom w:type="dxa" w:w="60"/>
              <w:right w:type="dxa" w:w="120"/>
            </w:tcMar>
          </w:tcPr>
          <w:p>
            <w:r>
              <w:rPr>
                <w:b w:val="false"/>
                <w:bCs w:val="false"/>
                <w:sz w:val="20"/>
                <w:szCs w:val="20"/>
              </w:rPr>
              <w:t xml:space="preserve">Accent — Blue</w:t>
            </w:r>
          </w:p>
        </w:tc>
        <w:tc>
          <w:tcPr>
            <w:tcW w:type="dxa" w:w="2380"/>
            <w:tcMar>
              <w:top w:type="dxa" w:w="60"/>
              <w:left w:type="dxa" w:w="120"/>
              <w:bottom w:type="dxa" w:w="60"/>
              <w:right w:type="dxa" w:w="120"/>
            </w:tcMar>
          </w:tcPr>
          <w:p>
            <w:r>
              <w:rPr>
                <w:b w:val="false"/>
                <w:bCs w:val="false"/>
                <w:sz w:val="20"/>
                <w:szCs w:val="20"/>
              </w:rPr>
              <w:t xml:space="preserve">#4F8EF7</w:t>
            </w:r>
          </w:p>
        </w:tc>
        <w:tc>
          <w:tcPr>
            <w:tcW w:type="dxa" w:w="3980"/>
            <w:tcMar>
              <w:top w:type="dxa" w:w="60"/>
              <w:left w:type="dxa" w:w="120"/>
              <w:bottom w:type="dxa" w:w="60"/>
              <w:right w:type="dxa" w:w="120"/>
            </w:tcMar>
          </w:tcPr>
          <w:p>
            <w:r>
              <w:rPr>
                <w:b w:val="false"/>
                <w:bCs w:val="false"/>
                <w:sz w:val="20"/>
                <w:szCs w:val="20"/>
              </w:rPr>
              <w:t xml:space="preserve">Secondary accent, gradients, buttons</w:t>
            </w:r>
          </w:p>
        </w:tc>
      </w:tr>
      <w:tr>
        <w:tc>
          <w:tcPr>
            <w:tcW w:type="dxa" w:w="3180"/>
            <w:tcMar>
              <w:top w:type="dxa" w:w="60"/>
              <w:left w:type="dxa" w:w="120"/>
              <w:bottom w:type="dxa" w:w="60"/>
              <w:right w:type="dxa" w:w="120"/>
            </w:tcMar>
          </w:tcPr>
          <w:p>
            <w:r>
              <w:rPr>
                <w:b w:val="false"/>
                <w:bCs w:val="false"/>
                <w:sz w:val="20"/>
                <w:szCs w:val="20"/>
              </w:rPr>
              <w:t xml:space="preserve">Highlight — Orange</w:t>
            </w:r>
          </w:p>
        </w:tc>
        <w:tc>
          <w:tcPr>
            <w:tcW w:type="dxa" w:w="2380"/>
            <w:tcMar>
              <w:top w:type="dxa" w:w="60"/>
              <w:left w:type="dxa" w:w="120"/>
              <w:bottom w:type="dxa" w:w="60"/>
              <w:right w:type="dxa" w:w="120"/>
            </w:tcMar>
          </w:tcPr>
          <w:p>
            <w:r>
              <w:rPr>
                <w:b w:val="false"/>
                <w:bCs w:val="false"/>
                <w:sz w:val="20"/>
                <w:szCs w:val="20"/>
              </w:rPr>
              <w:t xml:space="preserve">#F97316</w:t>
            </w:r>
          </w:p>
        </w:tc>
        <w:tc>
          <w:tcPr>
            <w:tcW w:type="dxa" w:w="3980"/>
            <w:tcMar>
              <w:top w:type="dxa" w:w="60"/>
              <w:left w:type="dxa" w:w="120"/>
              <w:bottom w:type="dxa" w:w="60"/>
              <w:right w:type="dxa" w:w="120"/>
            </w:tcMar>
          </w:tcPr>
          <w:p>
            <w:r>
              <w:rPr>
                <w:b w:val="false"/>
                <w:bCs w:val="false"/>
                <w:sz w:val="20"/>
                <w:szCs w:val="20"/>
              </w:rPr>
              <w:t xml:space="preserve">Warnings, emphasis, mid-low scores</w:t>
            </w:r>
          </w:p>
        </w:tc>
      </w:tr>
    </w:tbl>
    <w:p>
      <w:pPr>
        <w:spacing w:after="60" w:before="80"/>
      </w:pPr>
      <w:r>
        <w:rPr>
          <w:i/>
          <w:iCs/>
          <w:color w:val="6B7280"/>
          <w:sz w:val="20"/>
          <w:szCs w:val="20"/>
        </w:rPr>
        <w:t xml:space="preserve">Any palette change must be made in the codebase first, then mirrored here. Do not introduce off-palette hex values in design tools.</w:t>
      </w:r>
    </w:p>
    <w:p>
      <w:pPr>
        <w:pStyle w:val="Heading1"/>
        <w:spacing w:after="120" w:before="300"/>
      </w:pPr>
      <w:r>
        <w:rPr>
          <w:b/>
          <w:bCs/>
          <w:color w:val="0F1623"/>
        </w:rPr>
        <w:t xml:space="preserve">2. Data Credibility</w:t>
      </w:r>
    </w:p>
    <w:p>
      <w:pPr>
        <w:pStyle w:val="ListParagraph"/>
        <w:numPr>
          <w:ilvl w:val="0"/>
          <w:numId w:val="2"/>
        </w:numPr>
        <w:spacing w:after="60"/>
      </w:pPr>
      <w:r>
        <w:t xml:space="preserve">Every published number must come from the Lakive website, report database or approved dataset.</w:t>
      </w:r>
    </w:p>
    <w:p>
      <w:pPr>
        <w:pStyle w:val="ListParagraph"/>
        <w:numPr>
          <w:ilvl w:val="0"/>
          <w:numId w:val="2"/>
        </w:numPr>
        <w:spacing w:after="60"/>
      </w:pPr>
      <w:r>
        <w:t xml:space="preserve">Website, reports, newsletters and social media must use the same figures. If two products show different numbers for the same metric, publication stops until resolved.</w:t>
      </w:r>
    </w:p>
    <w:p>
      <w:pPr>
        <w:pStyle w:val="ListParagraph"/>
        <w:numPr>
          <w:ilvl w:val="0"/>
          <w:numId w:val="2"/>
        </w:numPr>
        <w:spacing w:after="60"/>
      </w:pPr>
      <w:r>
        <w:t xml:space="preserve">If different methodologies are used, state the methodology and reference date on the card itself (e.g. "HPI-based, standard income model · Jun 2026").</w:t>
      </w:r>
    </w:p>
    <w:p>
      <w:pPr>
        <w:pStyle w:val="ListParagraph"/>
        <w:numPr>
          <w:ilvl w:val="0"/>
          <w:numId w:val="2"/>
        </w:numPr>
        <w:spacing w:after="60"/>
      </w:pPr>
      <w:r>
        <w:t xml:space="preserve">Every card carries a data reference date (e.g. "Generated Jul 2026").</w:t>
      </w:r>
    </w:p>
    <w:p>
      <w:pPr>
        <w:pStyle w:val="ListParagraph"/>
        <w:numPr>
          <w:ilvl w:val="0"/>
          <w:numId w:val="2"/>
        </w:numPr>
        <w:spacing w:after="60"/>
      </w:pPr>
      <w:r>
        <w:t xml:space="preserve">Maintain a Single Source of Truth.</w:t>
      </w:r>
    </w:p>
    <w:p>
      <w:pPr>
        <w:pStyle w:val="Heading1"/>
        <w:spacing w:after="120" w:before="300"/>
      </w:pPr>
      <w:r>
        <w:rPr>
          <w:b/>
          <w:bCs/>
          <w:color w:val="0F1623"/>
        </w:rPr>
        <w:t xml:space="preserve">3. Legal &amp; Compliance</w:t>
      </w:r>
    </w:p>
    <w:p>
      <w:pPr>
        <w:pStyle w:val="ListParagraph"/>
        <w:numPr>
          <w:ilvl w:val="0"/>
          <w:numId w:val="2"/>
        </w:numPr>
        <w:spacing w:after="60"/>
      </w:pPr>
      <w:r>
        <w:t xml:space="preserve">Do not use protected logos, trophies, team branding, kit designs, or official event marks (e.g. FIFA, IOC, league properties). Newsjacking uses abstract elements only: colors, silhouettes, skylines, flags.</w:t>
      </w:r>
    </w:p>
    <w:p>
      <w:pPr>
        <w:pStyle w:val="ListParagraph"/>
        <w:numPr>
          <w:ilvl w:val="0"/>
          <w:numId w:val="2"/>
        </w:numPr>
        <w:spacing w:after="60"/>
      </w:pPr>
      <w:r>
        <w:t xml:space="preserve">No AI-generated likenesses of real public figures in any promotional content, including recognizable approximations.</w:t>
      </w:r>
    </w:p>
    <w:p>
      <w:pPr>
        <w:pStyle w:val="ListParagraph"/>
        <w:numPr>
          <w:ilvl w:val="0"/>
          <w:numId w:val="2"/>
        </w:numPr>
        <w:spacing w:after="60"/>
      </w:pPr>
      <w:r>
        <w:t xml:space="preserve">When quoting famous people, use text-based quote cards or abstract illustration. Attribution line only; no portrait.</w:t>
      </w:r>
    </w:p>
    <w:p>
      <w:pPr>
        <w:pStyle w:val="ListParagraph"/>
        <w:numPr>
          <w:ilvl w:val="0"/>
          <w:numId w:val="2"/>
        </w:numPr>
        <w:spacing w:after="60"/>
      </w:pPr>
      <w:r>
        <w:t xml:space="preserve">Only use photography with confirmed licenses; keep license records per asset.</w:t>
      </w:r>
    </w:p>
    <w:p>
      <w:pPr>
        <w:pStyle w:val="Heading1"/>
        <w:spacing w:after="120" w:before="300"/>
      </w:pPr>
      <w:r>
        <w:rPr>
          <w:b/>
          <w:bCs/>
          <w:color w:val="0F1623"/>
        </w:rPr>
        <w:t xml:space="preserve">4. Content Principles</w:t>
      </w:r>
    </w:p>
    <w:p>
      <w:pPr>
        <w:pStyle w:val="ListParagraph"/>
        <w:numPr>
          <w:ilvl w:val="0"/>
          <w:numId w:val="2"/>
        </w:numPr>
        <w:spacing w:after="60"/>
      </w:pPr>
      <w:r>
        <w:t xml:space="preserve">Each post communicates one key insight.</w:t>
      </w:r>
    </w:p>
    <w:p>
      <w:pPr>
        <w:pStyle w:val="ListParagraph"/>
        <w:numPr>
          <w:ilvl w:val="0"/>
          <w:numId w:val="2"/>
        </w:numPr>
        <w:spacing w:after="60"/>
      </w:pPr>
      <w:r>
        <w:t xml:space="preserve">Headline ≤ 8 words; subheadline ≤ 15 words; body ≤ 40 words whenever practical.</w:t>
      </w:r>
    </w:p>
    <w:p>
      <w:pPr>
        <w:pStyle w:val="ListParagraph"/>
        <w:numPr>
          <w:ilvl w:val="0"/>
          <w:numId w:val="2"/>
        </w:numPr>
        <w:spacing w:after="60"/>
      </w:pPr>
      <w:r>
        <w:t xml:space="preserve">Design for 2–3 second mobile comprehension.</w:t>
      </w:r>
    </w:p>
    <w:p>
      <w:pPr>
        <w:pStyle w:val="Heading1"/>
        <w:spacing w:after="120" w:before="300"/>
      </w:pPr>
      <w:r>
        <w:rPr>
          <w:b/>
          <w:bCs/>
          <w:color w:val="0F1623"/>
        </w:rPr>
        <w:t xml:space="preserve">5. Content Types</w:t>
      </w:r>
    </w:p>
    <w:p>
      <w:pPr>
        <w:pStyle w:val="ListParagraph"/>
        <w:numPr>
          <w:ilvl w:val="0"/>
          <w:numId w:val="2"/>
        </w:numPr>
        <w:spacing w:after="60"/>
      </w:pPr>
      <w:r>
        <w:t xml:space="preserve">Insight: one statistic + one conclusion.</w:t>
      </w:r>
    </w:p>
    <w:p>
      <w:pPr>
        <w:pStyle w:val="ListParagraph"/>
        <w:numPr>
          <w:ilvl w:val="0"/>
          <w:numId w:val="2"/>
        </w:numPr>
        <w:spacing w:after="60"/>
      </w:pPr>
      <w:r>
        <w:t xml:space="preserve">City Spotlight: maximum three highlights.</w:t>
      </w:r>
    </w:p>
    <w:p>
      <w:pPr>
        <w:pStyle w:val="ListParagraph"/>
        <w:numPr>
          <w:ilvl w:val="0"/>
          <w:numId w:val="2"/>
        </w:numPr>
        <w:spacing w:after="60"/>
      </w:pPr>
      <w:r>
        <w:t xml:space="preserve">Scorecard: readable mobile layout; "By the Numbers"-style fine print must meet the minimum type size in Section 7.</w:t>
      </w:r>
    </w:p>
    <w:p>
      <w:pPr>
        <w:pStyle w:val="ListParagraph"/>
        <w:numPr>
          <w:ilvl w:val="0"/>
          <w:numId w:val="2"/>
        </w:numPr>
        <w:spacing w:after="60"/>
      </w:pPr>
      <w:r>
        <w:t xml:space="preserve">Reports: split into carousel pages (one table/finding per page) rather than shrinking a PDF into one image. Long-form tables belong in LinkedIn documents or the website, not single feed images.</w:t>
      </w:r>
    </w:p>
    <w:p>
      <w:pPr>
        <w:pStyle w:val="Heading1"/>
        <w:spacing w:after="120" w:before="300"/>
      </w:pPr>
      <w:r>
        <w:rPr>
          <w:b/>
          <w:bCs/>
          <w:color w:val="0F1623"/>
        </w:rPr>
        <w:t xml:space="preserve">6. Visual Style</w:t>
      </w:r>
    </w:p>
    <w:p>
      <w:pPr>
        <w:pStyle w:val="ListParagraph"/>
        <w:numPr>
          <w:ilvl w:val="0"/>
          <w:numId w:val="2"/>
        </w:numPr>
        <w:spacing w:after="60"/>
      </w:pPr>
      <w:r>
        <w:t xml:space="preserve">Prefer authentic city photography and documentary aesthetics.</w:t>
      </w:r>
    </w:p>
    <w:p>
      <w:pPr>
        <w:pStyle w:val="ListParagraph"/>
        <w:numPr>
          <w:ilvl w:val="0"/>
          <w:numId w:val="2"/>
        </w:numPr>
        <w:spacing w:after="60"/>
      </w:pPr>
      <w:r>
        <w:t xml:space="preserve">Reduce artificial-looking AI portraits; no AI-generated crowds with recognizable faces.</w:t>
      </w:r>
    </w:p>
    <w:p>
      <w:pPr>
        <w:pStyle w:val="ListParagraph"/>
        <w:numPr>
          <w:ilvl w:val="0"/>
          <w:numId w:val="2"/>
        </w:numPr>
        <w:spacing w:after="60"/>
      </w:pPr>
      <w:r>
        <w:t xml:space="preserve">All text in images must be typeset in the design tool. Never let an image model render words, logos or taglines — this is the direct cause of the "Yeom data to belonging" incident.</w:t>
      </w:r>
    </w:p>
    <w:p>
      <w:pPr>
        <w:pStyle w:val="ListParagraph"/>
        <w:numPr>
          <w:ilvl w:val="0"/>
          <w:numId w:val="2"/>
        </w:numPr>
        <w:spacing w:after="60"/>
      </w:pPr>
      <w:r>
        <w:t xml:space="preserve">Visual hierarchy: Headline → Data → Image → CTA → Logo.</w:t>
      </w:r>
    </w:p>
    <w:p>
      <w:pPr>
        <w:pStyle w:val="Heading1"/>
        <w:spacing w:after="120" w:before="300"/>
      </w:pPr>
      <w:r>
        <w:rPr>
          <w:b/>
          <w:bCs/>
          <w:color w:val="0F1623"/>
        </w:rPr>
        <w:t xml:space="preserve">7. Readability &amp; Accessibility (hard requirements)</w:t>
      </w:r>
    </w:p>
    <w:p>
      <w:pPr>
        <w:pStyle w:val="ListParagraph"/>
        <w:numPr>
          <w:ilvl w:val="0"/>
          <w:numId w:val="2"/>
        </w:numPr>
        <w:spacing w:after="60"/>
      </w:pPr>
      <w:r>
        <w:t xml:space="preserve">Text-to-background contrast ratio ≥ 4.5:1 (WCAG AA) for all body and label text; ≥ 3:1 for large display numbers.</w:t>
      </w:r>
    </w:p>
    <w:p>
      <w:pPr>
        <w:pStyle w:val="ListParagraph"/>
        <w:numPr>
          <w:ilvl w:val="0"/>
          <w:numId w:val="2"/>
        </w:numPr>
        <w:spacing w:after="60"/>
      </w:pPr>
      <w:r>
        <w:t xml:space="preserve">Minimum rendered font size: 20 px on a 1080-px-wide canvas (≈11 pt). Nothing smaller ships.</w:t>
      </w:r>
    </w:p>
    <w:p>
      <w:pPr>
        <w:pStyle w:val="ListParagraph"/>
        <w:numPr>
          <w:ilvl w:val="0"/>
          <w:numId w:val="2"/>
        </w:numPr>
        <w:spacing w:after="60"/>
      </w:pPr>
      <w:r>
        <w:t xml:space="preserve">On dark backgrounds, no text below 55% white opacity; secondary labels 55–65%; body 80%+.</w:t>
      </w:r>
    </w:p>
    <w:p>
      <w:pPr>
        <w:pStyle w:val="ListParagraph"/>
        <w:numPr>
          <w:ilvl w:val="0"/>
          <w:numId w:val="2"/>
        </w:numPr>
        <w:spacing w:after="60"/>
      </w:pPr>
      <w:r>
        <w:t xml:space="preserve">Logos must use the light variant on dark backgrounds. Never place the dark/teal logo on navy.</w:t>
      </w:r>
    </w:p>
    <w:p>
      <w:pPr>
        <w:pStyle w:val="ListParagraph"/>
        <w:numPr>
          <w:ilvl w:val="0"/>
          <w:numId w:val="2"/>
        </w:numPr>
        <w:spacing w:after="60"/>
      </w:pPr>
      <w:r>
        <w:t xml:space="preserve">QR codes: minimum 120 px at 1080 width, quiet zone preserved, and scan-tested from a phone screenshot before publishing. Prefer links in caption over QR for feed posts.</w:t>
      </w:r>
    </w:p>
    <w:p>
      <w:pPr>
        <w:pStyle w:val="Heading1"/>
        <w:spacing w:after="120" w:before="300"/>
      </w:pPr>
      <w:r>
        <w:rPr>
          <w:b/>
          <w:bCs/>
          <w:color w:val="0F1623"/>
        </w:rPr>
        <w:t xml:space="preserve">8. CTA Standards</w:t>
      </w:r>
    </w:p>
    <w:p>
      <w:pPr>
        <w:pStyle w:val="ListParagraph"/>
        <w:numPr>
          <w:ilvl w:val="0"/>
          <w:numId w:val="2"/>
        </w:numPr>
        <w:spacing w:after="60"/>
      </w:pPr>
      <w:r>
        <w:t xml:space="preserve">Use only approved CTAs, e.g. "Explore more at Lakive.com" or "Read the full report at Lakive.com".</w:t>
      </w:r>
    </w:p>
    <w:p>
      <w:pPr>
        <w:pStyle w:val="Heading1"/>
        <w:spacing w:after="120" w:before="300"/>
      </w:pPr>
      <w:r>
        <w:rPr>
          <w:b/>
          <w:bCs/>
          <w:color w:val="0F1623"/>
        </w:rPr>
        <w:t xml:space="preserve">9. Weekly Editorial Series</w:t>
      </w:r>
    </w:p>
    <w:p>
      <w:pPr>
        <w:pStyle w:val="ListParagraph"/>
        <w:numPr>
          <w:ilvl w:val="0"/>
          <w:numId w:val="2"/>
        </w:numPr>
        <w:spacing w:after="60"/>
      </w:pPr>
      <w:r>
        <w:t xml:space="preserve">Monday — Future Starts Here</w:t>
      </w:r>
    </w:p>
    <w:p>
      <w:pPr>
        <w:pStyle w:val="ListParagraph"/>
        <w:numPr>
          <w:ilvl w:val="0"/>
          <w:numId w:val="2"/>
        </w:numPr>
        <w:spacing w:after="60"/>
      </w:pPr>
      <w:r>
        <w:t xml:space="preserve">Tuesday — Report Insight</w:t>
      </w:r>
    </w:p>
    <w:p>
      <w:pPr>
        <w:pStyle w:val="ListParagraph"/>
        <w:numPr>
          <w:ilvl w:val="0"/>
          <w:numId w:val="2"/>
        </w:numPr>
        <w:spacing w:after="60"/>
      </w:pPr>
      <w:r>
        <w:t xml:space="preserve">Wednesday — Career Insight</w:t>
      </w:r>
    </w:p>
    <w:p>
      <w:pPr>
        <w:pStyle w:val="ListParagraph"/>
        <w:numPr>
          <w:ilvl w:val="0"/>
          <w:numId w:val="2"/>
        </w:numPr>
        <w:spacing w:after="60"/>
      </w:pPr>
      <w:r>
        <w:t xml:space="preserve">Thursday — City Spotlight</w:t>
      </w:r>
    </w:p>
    <w:p>
      <w:pPr>
        <w:pStyle w:val="ListParagraph"/>
        <w:numPr>
          <w:ilvl w:val="0"/>
          <w:numId w:val="2"/>
        </w:numPr>
        <w:spacing w:after="60"/>
      </w:pPr>
      <w:r>
        <w:t xml:space="preserve">Friday — City Compare</w:t>
      </w:r>
    </w:p>
    <w:p>
      <w:pPr>
        <w:pStyle w:val="ListParagraph"/>
        <w:numPr>
          <w:ilvl w:val="0"/>
          <w:numId w:val="2"/>
        </w:numPr>
        <w:spacing w:after="60"/>
      </w:pPr>
      <w:r>
        <w:t xml:space="preserve">Saturday — Weekly Discovery</w:t>
      </w:r>
    </w:p>
    <w:p>
      <w:pPr>
        <w:pStyle w:val="ListParagraph"/>
        <w:numPr>
          <w:ilvl w:val="0"/>
          <w:numId w:val="2"/>
        </w:numPr>
        <w:spacing w:after="60"/>
      </w:pPr>
      <w:r>
        <w:t xml:space="preserve">Sunday — Weekly Insight</w:t>
      </w:r>
    </w:p>
    <w:p>
      <w:pPr>
        <w:spacing w:after="60" w:before="60"/>
      </w:pPr>
      <w:r>
        <w:rPr>
          <w:i/>
          <w:iCs/>
          <w:color w:val="6B7280"/>
          <w:sz w:val="20"/>
          <w:szCs w:val="20"/>
        </w:rPr>
        <w:t xml:space="preserve">Series names above take effect with this version. All templates and corner badges must be updated before the next scheduled post of each series; do not mix old and new series names in the same week.</w:t>
      </w:r>
    </w:p>
    <w:p>
      <w:pPr>
        <w:pStyle w:val="Heading1"/>
        <w:spacing w:after="120" w:before="300"/>
      </w:pPr>
      <w:r>
        <w:rPr>
          <w:b/>
          <w:bCs/>
          <w:color w:val="0F1623"/>
        </w:rPr>
        <w:t xml:space="preserve">10. AI Content Disclosure</w:t>
      </w:r>
    </w:p>
    <w:p>
      <w:pPr>
        <w:pStyle w:val="ListParagraph"/>
        <w:numPr>
          <w:ilvl w:val="0"/>
          <w:numId w:val="2"/>
        </w:numPr>
        <w:spacing w:after="60"/>
      </w:pPr>
      <w:r>
        <w:t xml:space="preserve">Photorealistic AI-generated imagery must be labeled where the platform requires or provides it (Meta "AI Info", TikTok AI-generated label).</w:t>
      </w:r>
    </w:p>
    <w:p>
      <w:pPr>
        <w:pStyle w:val="ListParagraph"/>
        <w:numPr>
          <w:ilvl w:val="0"/>
          <w:numId w:val="2"/>
        </w:numPr>
        <w:spacing w:after="60"/>
      </w:pPr>
      <w:r>
        <w:t xml:space="preserve">Illustrations and abstract graphics do not require labeling.</w:t>
      </w:r>
    </w:p>
    <w:p>
      <w:pPr>
        <w:pStyle w:val="ListParagraph"/>
        <w:numPr>
          <w:ilvl w:val="0"/>
          <w:numId w:val="2"/>
        </w:numPr>
        <w:spacing w:after="60"/>
      </w:pPr>
      <w:r>
        <w:t xml:space="preserve">Never present AI-generated scenes as documentary photographs of real events.</w:t>
      </w:r>
    </w:p>
    <w:p>
      <w:pPr>
        <w:pStyle w:val="Heading1"/>
        <w:spacing w:after="120" w:before="300"/>
      </w:pPr>
      <w:r>
        <w:rPr>
          <w:b/>
          <w:bCs/>
          <w:color w:val="0F1623"/>
        </w:rPr>
        <w:t xml:space="preserve">11. Language Policy</w:t>
      </w:r>
    </w:p>
    <w:p>
      <w:pPr>
        <w:pStyle w:val="ListParagraph"/>
        <w:numPr>
          <w:ilvl w:val="0"/>
          <w:numId w:val="2"/>
        </w:numPr>
        <w:spacing w:after="60"/>
      </w:pPr>
      <w:r>
        <w:t xml:space="preserve">Default language: English.</w:t>
      </w:r>
    </w:p>
    <w:p>
      <w:pPr>
        <w:pStyle w:val="ListParagraph"/>
        <w:numPr>
          <w:ilvl w:val="0"/>
          <w:numId w:val="2"/>
        </w:numPr>
        <w:spacing w:after="60"/>
      </w:pPr>
      <w:r>
        <w:t xml:space="preserve">Montréal / Québec-targeted content: publish a French version (or bilingual card) whenever the content is Québec-specific. French copy is reviewed by a French speaker before publishing.</w:t>
      </w:r>
    </w:p>
    <w:p>
      <w:pPr>
        <w:pStyle w:val="ListParagraph"/>
        <w:numPr>
          <w:ilvl w:val="0"/>
          <w:numId w:val="2"/>
        </w:numPr>
        <w:spacing w:after="60"/>
      </w:pPr>
      <w:r>
        <w:t xml:space="preserve">City names keep their local spelling (Montréal, Québec City).</w:t>
      </w:r>
    </w:p>
    <w:p>
      <w:pPr>
        <w:pStyle w:val="Heading1"/>
        <w:spacing w:after="120" w:before="300"/>
      </w:pPr>
      <w:r>
        <w:rPr>
          <w:b/>
          <w:bCs/>
          <w:color w:val="0F1623"/>
        </w:rPr>
        <w:t xml:space="preserve">12. Correction &amp; Takedown Protocol</w:t>
      </w:r>
    </w:p>
    <w:p>
      <w:pPr>
        <w:pStyle w:val="ListParagraph"/>
        <w:numPr>
          <w:ilvl w:val="0"/>
          <w:numId w:val="2"/>
        </w:numPr>
        <w:spacing w:after="60"/>
      </w:pPr>
      <w:r>
        <w:t xml:space="preserve">Severity A — legal/IP risk or fabricated data: take down immediately, then assess repost. Decision owner: founder.</w:t>
      </w:r>
    </w:p>
    <w:p>
      <w:pPr>
        <w:pStyle w:val="ListParagraph"/>
        <w:numPr>
          <w:ilvl w:val="0"/>
          <w:numId w:val="2"/>
        </w:numPr>
        <w:spacing w:after="60"/>
      </w:pPr>
      <w:r>
        <w:t xml:space="preserve">Severity B — wrong number or broken visual (e.g. garbled logo text): correct and repost within 24 h; delete the faulty post if engagement is still low, otherwise post a correction comment.</w:t>
      </w:r>
    </w:p>
    <w:p>
      <w:pPr>
        <w:pStyle w:val="ListParagraph"/>
        <w:numPr>
          <w:ilvl w:val="0"/>
          <w:numId w:val="2"/>
        </w:numPr>
        <w:spacing w:after="60"/>
      </w:pPr>
      <w:r>
        <w:t xml:space="preserve">Severity C — typo without data impact: fix in next scheduled slot; no takedown needed.</w:t>
      </w:r>
    </w:p>
    <w:p>
      <w:pPr>
        <w:pStyle w:val="ListParagraph"/>
        <w:numPr>
          <w:ilvl w:val="0"/>
          <w:numId w:val="2"/>
        </w:numPr>
        <w:spacing w:after="60"/>
      </w:pPr>
      <w:r>
        <w:t xml:space="preserve">Every correction is logged (date, post, issue, action) in the content log.</w:t>
      </w:r>
    </w:p>
    <w:p>
      <w:pPr>
        <w:pStyle w:val="Heading1"/>
        <w:spacing w:after="120" w:before="300"/>
      </w:pPr>
      <w:r>
        <w:rPr>
          <w:b/>
          <w:bCs/>
          <w:color w:val="0F1623"/>
        </w:rPr>
        <w:t xml:space="preserve">13. Pre-Publish QA Checklist</w:t>
      </w:r>
    </w:p>
    <w:p>
      <w:pPr>
        <w:pStyle w:val="ListParagraph"/>
        <w:numPr>
          <w:ilvl w:val="0"/>
          <w:numId w:val="2"/>
        </w:numPr>
        <w:spacing w:after="60"/>
      </w:pPr>
      <w:r>
        <w:t xml:space="preserve">Brand: correct lockup, tagline without period, fonts, on-palette colors.</w:t>
      </w:r>
    </w:p>
    <w:p>
      <w:pPr>
        <w:pStyle w:val="ListParagraph"/>
        <w:numPr>
          <w:ilvl w:val="0"/>
          <w:numId w:val="2"/>
        </w:numPr>
        <w:spacing w:after="60"/>
      </w:pPr>
      <w:r>
        <w:t xml:space="preserve">Data: figures verified against the website/database; methodology + reference date shown; no conflict with any live Lakive surface.</w:t>
      </w:r>
    </w:p>
    <w:p>
      <w:pPr>
        <w:pStyle w:val="ListParagraph"/>
        <w:numPr>
          <w:ilvl w:val="0"/>
          <w:numId w:val="2"/>
        </w:numPr>
        <w:spacing w:after="60"/>
      </w:pPr>
      <w:r>
        <w:t xml:space="preserve">Content: spelling, AI-hallucination sweep of ALL in-image text, readability.</w:t>
      </w:r>
    </w:p>
    <w:p>
      <w:pPr>
        <w:pStyle w:val="ListParagraph"/>
        <w:numPr>
          <w:ilvl w:val="0"/>
          <w:numId w:val="2"/>
        </w:numPr>
        <w:spacing w:after="60"/>
      </w:pPr>
      <w:r>
        <w:t xml:space="preserve">Legal: copyright, trademarks, likenesses, license records.</w:t>
      </w:r>
    </w:p>
    <w:p>
      <w:pPr>
        <w:pStyle w:val="ListParagraph"/>
        <w:numPr>
          <w:ilvl w:val="0"/>
          <w:numId w:val="2"/>
        </w:numPr>
        <w:spacing w:after="60"/>
      </w:pPr>
      <w:r>
        <w:t xml:space="preserve">Accessibility: contrast ratio, minimum type size, opacity floors (Section 7).</w:t>
      </w:r>
    </w:p>
    <w:p>
      <w:pPr>
        <w:pStyle w:val="ListParagraph"/>
        <w:numPr>
          <w:ilvl w:val="0"/>
          <w:numId w:val="2"/>
        </w:numPr>
        <w:spacing w:after="60"/>
      </w:pPr>
      <w:r>
        <w:t xml:space="preserve">Platform: mobile crop check, safe margins, QR scan test if used, AI label if required.</w:t>
      </w:r>
    </w:p>
    <w:p>
      <w:pPr>
        <w:pStyle w:val="Heading1"/>
        <w:spacing w:after="120" w:before="300"/>
      </w:pPr>
      <w:r>
        <w:rPr>
          <w:b/>
          <w:bCs/>
          <w:color w:val="0F1623"/>
        </w:rPr>
        <w:t xml:space="preserve">14. Core Principle</w:t>
      </w:r>
    </w:p>
    <w:p>
      <w:pPr>
        <w:pStyle w:val="ListParagraph"/>
        <w:numPr>
          <w:ilvl w:val="0"/>
          <w:numId w:val="2"/>
        </w:numPr>
        <w:spacing w:after="60"/>
      </w:pPr>
      <w:r>
        <w:t xml:space="preserve">Every Post Must Be Worth Saving.</w:t>
      </w:r>
    </w:p>
    <w:p>
      <w:pPr>
        <w:pStyle w:val="ListParagraph"/>
        <w:numPr>
          <w:ilvl w:val="0"/>
          <w:numId w:val="2"/>
        </w:numPr>
        <w:spacing w:after="60"/>
      </w:pPr>
      <w:r>
        <w:t xml:space="preserve">Lakive creates long-term decision value rather than short-term news. Every post should help users make better decisions about careers, cities and life.</w:t>
      </w:r>
    </w:p>
    <w:p>
      <w:pPr>
        <w:pStyle w:val="Heading1"/>
        <w:spacing w:after="120" w:before="300"/>
      </w:pPr>
      <w:r>
        <w:rPr>
          <w:b/>
          <w:bCs/>
          <w:color w:val="0F1623"/>
        </w:rPr>
        <w:t xml:space="preserve">Version Control</w:t>
      </w:r>
    </w:p>
    <w:p>
      <w:pPr>
        <w:spacing w:after="120"/>
      </w:pPr>
      <w:r>
        <w:t xml:space="preserve">Version: v1.1 · Approved: July 2026 · Status: Internal Working Standard</w:t>
      </w:r>
    </w:p>
    <w:p>
      <w:pPr>
        <w:spacing w:after="120"/>
      </w:pPr>
      <w:r>
        <w:t xml:space="preserve">Changes from v1.0: tagline standardized WITHOUT period (existing assets to migrate at next update); color palette aligned to product codebase (#0F1623 / #14B8A6 / #4F8EF7 / #F97316) replacing #151827 / #20C5BE; added Section 7 Readability &amp; Accessibility hard requirements; added typeset-text-only rule (6); added AI Content Disclosure (10); added Language Policy (11); added Correction &amp; Takedown Protocol (12); QA checklist expanded accordingly; series rename effective-date note added (9).</w:t>
      </w:r>
    </w:p>
    <w:sectPr>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Title">
    <w:name w:val="Title"/>
    <w:basedOn w:val="Normal"/>
    <w:next w:val="Normal"/>
    <w:qFormat/>
    <w:rPr>
      <w:rFonts w:ascii="Calibri" w:cs="Calibri" w:eastAsia="Calibri" w:hAnsi="Calibri"/>
      <w:b/>
      <w:bCs/>
      <w:color w:val="0F1623"/>
      <w:sz w:val="40"/>
      <w:szCs w:val="40"/>
    </w:rPr>
  </w:style>
  <w:style w:type="paragraph" w:styleId="Heading1">
    <w:name w:val="Heading 1"/>
    <w:basedOn w:val="Normal"/>
    <w:next w:val="Normal"/>
    <w:qFormat/>
    <w:rPr>
      <w:rFonts w:ascii="Calibri" w:cs="Calibri" w:eastAsia="Calibri" w:hAnsi="Calibri"/>
      <w:b/>
      <w:bCs/>
      <w:color w:val="0F1623"/>
      <w:sz w:val="26"/>
      <w:szCs w:val="2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2026-07-20T06:24:08.477Z</dcterms:created>
  <dcterms:modified xsi:type="dcterms:W3CDTF">2026-07-20T06:24:08.478Z</dcterms:modified>
</cp:coreProperties>
</file>

<file path=docProps/custom.xml><?xml version="1.0" encoding="utf-8"?>
<Properties xmlns="http://schemas.openxmlformats.org/officeDocument/2006/custom-properties" xmlns:vt="http://schemas.openxmlformats.org/officeDocument/2006/docPropsVTypes"/>
</file>