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14B8A6"/>
          <w:sz w:val="18"/>
          <w:szCs w:val="18"/>
        </w:rPr>
        <w:t xml:space="preserve">LAKIVE MONTHLY REPORT</w:t>
      </w:r>
    </w:p>
    <w:p>
      <w:pPr>
        <w:pBdr>
          <w:left w:val="single" w:color="14B8A6" w:sz="24" w:space="10"/>
        </w:pBdr>
        <w:spacing w:after="80" w:before="0"/>
      </w:pPr>
      <w:r>
        <w:rPr>
          <w:rFonts w:ascii="Arial" w:cs="Arial" w:eastAsia="Arial" w:hAnsi="Arial"/>
          <w:b/>
          <w:bCs/>
          <w:color w:val="0d1f44"/>
          <w:sz w:val="40"/>
          <w:szCs w:val="40"/>
        </w:rPr>
        <w:t xml:space="preserve">Canada's Rental Market Continues to Stabilize</w:t>
      </w:r>
    </w:p>
    <w:p>
      <w:pPr>
        <w:spacing w:after="40" w:before="80"/>
      </w:pPr>
      <w:r>
        <w:rPr>
          <w:rFonts w:ascii="Arial" w:cs="Arial" w:eastAsia="Arial" w:hAnsi="Arial"/>
          <w:i/>
          <w:iCs/>
          <w:color w:val="64748B"/>
          <w:sz w:val="26"/>
          <w:szCs w:val="26"/>
        </w:rPr>
        <w:t xml:space="preserve">Housing, Jobs and the Economy at a Glance</w:t>
      </w:r>
    </w:p>
    <w:p>
      <w:pPr>
        <w:spacing w:after="320" w:before="40"/>
      </w:pPr>
      <w:r>
        <w:rPr>
          <w:rFonts w:ascii="Arial" w:cs="Arial" w:eastAsia="Arial" w:hAnsi="Arial"/>
          <w:color w:val="64748B"/>
          <w:sz w:val="18"/>
          <w:szCs w:val="18"/>
        </w:rPr>
        <w:t xml:space="preserve">Published August 5, 2026  ·  Lakive Research</w:t>
      </w:r>
    </w:p>
    <w:p>
      <w:pPr>
        <w:pBdr>
          <w:bottom w:val="single" w:color="E5E7EB" w:sz="4" w:space="1"/>
        </w:pBdr>
        <w:spacing w:after="160" w:before="160"/>
      </w:pPr>
    </w:p>
    <w:p>
      <w:pPr>
        <w:pStyle w:val="Heading1"/>
        <w:pBdr>
          <w:left w:val="single" w:color="14B8A6" w:sz="18" w:space="8"/>
        </w:pBdr>
        <w:spacing w:after="120" w:before="320"/>
      </w:pPr>
      <w:r>
        <w:rPr>
          <w:rFonts w:ascii="Arial" w:cs="Arial" w:eastAsia="Arial" w:hAnsi="Arial"/>
          <w:b/>
          <w:bCs/>
          <w:color w:val="0d1f44"/>
          <w:sz w:val="28"/>
          <w:szCs w:val="28"/>
        </w:rPr>
        <w:t xml:space="preserve">1. Executive Summary</w:t>
      </w:r>
    </w:p>
    <w:p>
      <w:pPr>
        <w:spacing w:after="80" w:before="80"/>
      </w:pPr>
      <w:r>
        <w:rPr>
          <w:rFonts w:ascii="Arial" w:cs="Arial" w:eastAsia="Arial" w:hAnsi="Arial"/>
          <w:color w:val="374151"/>
          <w:sz w:val="20"/>
          <w:szCs w:val="20"/>
        </w:rPr>
        <w:t xml:space="preserve">July 2026 marks a meaningful inflection point for Canadian renters and prospective movers. National average asking rents have now fallen for 21 consecutive months year-over-year, reaching CAD $2,033 — a level last seen in early 2023. At the same time, the Bank of Canada held its policy rate steady at 2.25%, inflation continues to trend toward the 2% target, and the labour market added jobs for a third consecutive month in June.</w:t>
      </w:r>
    </w:p>
    <w:p>
      <w:pPr>
        <w:spacing w:after="80" w:before="80"/>
      </w:pPr>
      <w:r>
        <w:rPr>
          <w:rFonts w:ascii="Arial" w:cs="Arial" w:eastAsia="Arial" w:hAnsi="Arial"/>
          <w:color w:val="374151"/>
          <w:sz w:val="20"/>
          <w:szCs w:val="20"/>
        </w:rPr>
        <w:t xml:space="preserve">The combined picture: affordability pressures are easing, but unevenly. Rents are falling nationally, yet select urban markets are showing early signs of stabilization. For anyone considering a relocation decision in the second half of 2026, the window of improved affordability may be narrowing.</w:t>
      </w:r>
    </w:p>
    <w:p>
      <w:pPr>
        <w:spacing w:after="80" w:before="160"/>
      </w:pPr>
      <w:r>
        <w:rPr>
          <w:rFonts w:ascii="Arial" w:cs="Arial" w:eastAsia="Arial" w:hAnsi="Arial"/>
          <w:b/>
          <w:bCs/>
          <w:color w:val="0d1f44"/>
          <w:sz w:val="22"/>
          <w:szCs w:val="22"/>
        </w:rPr>
        <w:t xml:space="preserve">Key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Indicator</w:t>
            </w:r>
          </w:p>
        </w:tc>
        <w:tc>
          <w:tcPr>
            <w:tcW w:type="dxa" w:w="258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Current</w:t>
            </w:r>
          </w:p>
        </w:tc>
        <w:tc>
          <w:tcPr>
            <w:tcW w:type="dxa" w:w="258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Change</w:t>
            </w:r>
          </w:p>
        </w:tc>
      </w:tr>
      <w:tr>
        <w:tc>
          <w:tcPr>
            <w:tcW w:type="dxa" w:w="4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National Avg. Asking Rent</w:t>
            </w:r>
          </w:p>
        </w:tc>
        <w:tc>
          <w:tcPr>
            <w:tcW w:type="dxa" w:w="2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CAD $2,033</w:t>
            </w:r>
          </w:p>
        </w:tc>
        <w:tc>
          <w:tcPr>
            <w:tcW w:type="dxa" w:w="2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59669"/>
                <w:sz w:val="20"/>
                <w:szCs w:val="20"/>
              </w:rPr>
              <w:t xml:space="preserve">▼ 4.3% YoY</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Consecutive Months YoY Decline</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21 months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20"/>
                <w:szCs w:val="20"/>
              </w:rPr>
              <w:t xml:space="preserve">—</w:t>
            </w:r>
          </w:p>
        </w:tc>
      </w:tr>
      <w:tr>
        <w:tc>
          <w:tcPr>
            <w:tcW w:type="dxa" w:w="4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Unemployment Rate (Jun 2026)</w:t>
            </w:r>
          </w:p>
        </w:tc>
        <w:tc>
          <w:tcPr>
            <w:tcW w:type="dxa" w:w="2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6.5%</w:t>
            </w:r>
          </w:p>
        </w:tc>
        <w:tc>
          <w:tcPr>
            <w:tcW w:type="dxa" w:w="2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59669"/>
                <w:sz w:val="20"/>
                <w:szCs w:val="20"/>
              </w:rPr>
              <w:t xml:space="preserve">▼ 0.3% vs prior</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Net Jobs Added (Jun 2026)</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~18,000</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20"/>
                <w:szCs w:val="20"/>
              </w:rPr>
              <w:t xml:space="preserve">—</w:t>
            </w:r>
          </w:p>
        </w:tc>
      </w:tr>
      <w:tr>
        <w:tc>
          <w:tcPr>
            <w:tcW w:type="dxa" w:w="4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BoC Policy Rate</w:t>
            </w:r>
          </w:p>
        </w:tc>
        <w:tc>
          <w:tcPr>
            <w:tcW w:type="dxa" w:w="2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2.25%</w:t>
            </w:r>
          </w:p>
        </w:tc>
        <w:tc>
          <w:tcPr>
            <w:tcW w:type="dxa" w:w="2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20"/>
                <w:szCs w:val="20"/>
              </w:rPr>
              <w:t xml:space="preserve">Unchanged (Jul 15)</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CPI Inflation (Jun 2026)</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2.8%</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59669"/>
                <w:sz w:val="20"/>
                <w:szCs w:val="20"/>
              </w:rPr>
              <w:t xml:space="preserve">▼ 0.4% vs prior</w:t>
            </w:r>
          </w:p>
        </w:tc>
      </w:tr>
    </w:tbl>
    <w:p>
      <w:pPr>
        <w:pBdr>
          <w:bottom w:val="single" w:color="E5E7EB" w:sz="4" w:space="1"/>
        </w:pBdr>
        <w:spacing w:after="160" w:before="160"/>
      </w:pPr>
    </w:p>
    <w:p>
      <w:pPr>
        <w:pStyle w:val="Heading1"/>
        <w:pBdr>
          <w:left w:val="single" w:color="14B8A6" w:sz="18" w:space="8"/>
        </w:pBdr>
        <w:spacing w:after="120" w:before="320"/>
      </w:pPr>
      <w:r>
        <w:rPr>
          <w:rFonts w:ascii="Arial" w:cs="Arial" w:eastAsia="Arial" w:hAnsi="Arial"/>
          <w:b/>
          <w:bCs/>
          <w:color w:val="0d1f44"/>
          <w:sz w:val="28"/>
          <w:szCs w:val="28"/>
        </w:rPr>
        <w:t xml:space="preserve">2. National Rental Market Update</w:t>
      </w:r>
    </w:p>
    <w:p>
      <w:pPr>
        <w:spacing w:after="80" w:before="80"/>
      </w:pPr>
      <w:r>
        <w:rPr>
          <w:rFonts w:ascii="Arial" w:cs="Arial" w:eastAsia="Arial" w:hAnsi="Arial"/>
          <w:i/>
          <w:iCs/>
          <w:color w:val="64748B"/>
          <w:sz w:val="18"/>
          <w:szCs w:val="18"/>
        </w:rPr>
        <w:t xml:space="preserve">Source: Rentals.ca × Urbanation National Rent Report, released July 8, 2026</w:t>
      </w:r>
    </w:p>
    <w:p>
      <w:pPr>
        <w:spacing w:after="80" w:before="80"/>
      </w:pPr>
      <w:r>
        <w:rPr>
          <w:rFonts w:ascii="Arial" w:cs="Arial" w:eastAsia="Arial" w:hAnsi="Arial"/>
          <w:color w:val="374151"/>
          <w:sz w:val="20"/>
          <w:szCs w:val="20"/>
        </w:rPr>
        <w:t xml:space="preserve">The national average asking rent stood at CAD $2,033 in July 2026, representing a 4.3% year-over-year decline — the 21st consecutive month of negative annual growth. This sustained softening reflects elevated purpose-built rental completions, reduced interprovincial migration, and lingering affordability fatigue among renters.</w:t>
      </w:r>
    </w:p>
    <w:p>
      <w:pPr>
        <w:spacing w:after="80" w:before="80"/>
      </w:pPr>
      <w:r>
        <w:rPr>
          <w:rFonts w:ascii="Arial" w:cs="Arial" w:eastAsia="Arial" w:hAnsi="Arial"/>
          <w:color w:val="374151"/>
          <w:sz w:val="20"/>
          <w:szCs w:val="20"/>
        </w:rPr>
        <w:t xml:space="preserve">Despite the headline decline, the month-over-month trend tells a more nuanced story. Rents edged slightly higher on a monthly basis for the second consecutive month, suggesting the floor may be approaching in certain markets. Toronto is the most notable example: after significant year-over-year corrections, asking rents in the GTA appear to be stabilizing.</w:t>
      </w:r>
    </w:p>
    <w:p>
      <w:pPr>
        <w:spacing w:after="80" w:before="160"/>
      </w:pPr>
      <w:r>
        <w:rPr>
          <w:rFonts w:ascii="Arial" w:cs="Arial" w:eastAsia="Arial" w:hAnsi="Arial"/>
          <w:b/>
          <w:bCs/>
          <w:color w:val="0d1f44"/>
          <w:sz w:val="22"/>
          <w:szCs w:val="22"/>
        </w:rPr>
        <w:t xml:space="preserve">City-Level Rental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040"/>
        <w:gridCol w:w="2880"/>
      </w:tblGrid>
      <w:tr>
        <w:trPr>
          <w:tblHeader/>
        </w:trPr>
        <w:tc>
          <w:tcPr>
            <w:tcW w:type="dxa" w:w="240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City</w:t>
            </w:r>
          </w:p>
        </w:tc>
        <w:tc>
          <w:tcPr>
            <w:tcW w:type="dxa" w:w="204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1BR Avg</w:t>
            </w:r>
          </w:p>
        </w:tc>
        <w:tc>
          <w:tcPr>
            <w:tcW w:type="dxa" w:w="204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2BR Avg</w:t>
            </w:r>
          </w:p>
        </w:tc>
        <w:tc>
          <w:tcPr>
            <w:tcW w:type="dxa" w:w="288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Signal</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Calgary</w:t>
            </w:r>
          </w:p>
        </w:tc>
        <w:tc>
          <w:tcPr>
            <w:tcW w:type="dxa" w:w="20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0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8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Ottawa</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Toronto</w:t>
            </w:r>
          </w:p>
        </w:tc>
        <w:tc>
          <w:tcPr>
            <w:tcW w:type="dxa" w:w="20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0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8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59669"/>
                <w:sz w:val="20"/>
                <w:szCs w:val="20"/>
              </w:rPr>
              <w:t xml:space="preserve">Stabilizing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Vancouver</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Montréal</w:t>
            </w:r>
          </w:p>
        </w:tc>
        <w:tc>
          <w:tcPr>
            <w:tcW w:type="dxa" w:w="20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0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8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20"/>
                <w:szCs w:val="20"/>
              </w:rPr>
              <w:t xml:space="preserve">—</w:t>
            </w:r>
          </w:p>
        </w:tc>
      </w:tr>
    </w:tbl>
    <w:p>
      <w:pPr>
        <w:spacing w:after="80" w:before="80"/>
      </w:pPr>
      <w:r>
        <w:rPr>
          <w:rFonts w:ascii="Arial" w:cs="Arial" w:eastAsia="Arial" w:hAnsi="Arial"/>
          <w:i/>
          <w:iCs/>
          <w:color w:val="64748B"/>
          <w:sz w:val="18"/>
          <w:szCs w:val="18"/>
        </w:rPr>
        <w:t xml:space="preserve">* City-level figures updated per Rentals.ca July 2026 release. TBC = to be confirmed with city-specific data.</w:t>
      </w:r>
    </w:p>
    <w:p>
      <w:pPr>
        <w:spacing w:after="80" w:before="80"/>
      </w:pPr>
      <w:r>
        <w:rPr>
          <w:rFonts w:ascii="Arial" w:cs="Arial" w:eastAsia="Arial" w:hAnsi="Arial"/>
          <w:color w:val="374151"/>
          <w:sz w:val="20"/>
          <w:szCs w:val="20"/>
        </w:rPr>
        <w:t xml:space="preserve">Renters who have been waiting for further price drops may find that the best opportunity window — particularly in Toronto and surrounding areas — is now. Smaller cities continue to offer relatively better affordability, though the gap is narrowing as national supply catches up.</w:t>
      </w:r>
    </w:p>
    <w:p>
      <w:pPr>
        <w:pBdr>
          <w:left w:val="single" w:color="3B82F6" w:sz="12" w:space="8"/>
        </w:pBdr>
        <w:shd w:fill="EFF6FF" w:val="clear"/>
        <w:spacing w:after="120" w:before="120"/>
      </w:pPr>
      <w:r>
        <w:rPr>
          <w:rFonts w:ascii="Arial" w:cs="Arial" w:eastAsia="Arial" w:hAnsi="Arial"/>
          <w:b/>
          <w:bCs/>
          <w:color w:val="1D4ED8"/>
          <w:sz w:val="19"/>
          <w:szCs w:val="19"/>
        </w:rPr>
        <w:t xml:space="preserve">Lakive update: </w:t>
      </w:r>
      <w:r>
        <w:rPr>
          <w:rFonts w:ascii="Arial" w:cs="Arial" w:eastAsia="Arial" w:hAnsi="Arial"/>
          <w:color w:val="1E40AF"/>
          <w:sz w:val="19"/>
          <w:szCs w:val="19"/>
        </w:rPr>
        <w:t xml:space="preserve">Rent Pressure Index (RPI) and city-level rental comparisons updated across all covered cities.</w:t>
      </w:r>
    </w:p>
    <w:p>
      <w:pPr>
        <w:pBdr>
          <w:bottom w:val="single" w:color="E5E7EB" w:sz="4" w:space="1"/>
        </w:pBdr>
        <w:spacing w:after="160" w:before="160"/>
      </w:pPr>
    </w:p>
    <w:p>
      <w:pPr>
        <w:pStyle w:val="Heading1"/>
        <w:pBdr>
          <w:left w:val="single" w:color="14B8A6" w:sz="18" w:space="8"/>
        </w:pBdr>
        <w:spacing w:after="120" w:before="320"/>
      </w:pPr>
      <w:r>
        <w:rPr>
          <w:rFonts w:ascii="Arial" w:cs="Arial" w:eastAsia="Arial" w:hAnsi="Arial"/>
          <w:b/>
          <w:bCs/>
          <w:color w:val="0d1f44"/>
          <w:sz w:val="28"/>
          <w:szCs w:val="28"/>
        </w:rPr>
        <w:t xml:space="preserve">3. Housing Market Overview</w:t>
      </w:r>
    </w:p>
    <w:p>
      <w:pPr>
        <w:spacing w:after="80" w:before="80"/>
      </w:pPr>
      <w:r>
        <w:rPr>
          <w:rFonts w:ascii="Arial" w:cs="Arial" w:eastAsia="Arial" w:hAnsi="Arial"/>
          <w:i/>
          <w:iCs/>
          <w:color w:val="64748B"/>
          <w:sz w:val="18"/>
          <w:szCs w:val="18"/>
        </w:rPr>
        <w:t xml:space="preserve">Source: CREA — July 2026 data pending, expected mid-August 2026</w:t>
      </w:r>
    </w:p>
    <w:p>
      <w:pPr>
        <w:spacing w:after="80" w:before="80"/>
      </w:pPr>
      <w:r>
        <w:rPr>
          <w:rFonts w:ascii="Arial" w:cs="Arial" w:eastAsia="Arial" w:hAnsi="Arial"/>
          <w:color w:val="374151"/>
          <w:sz w:val="20"/>
          <w:szCs w:val="20"/>
        </w:rPr>
        <w:t xml:space="preserve">CREA's July 2026 national home price data has not yet been released at the time of this report. The most recent available data (June 2026) showed national benchmark home prices continuing to stabilize after the correction period of 2023–2024.</w:t>
      </w:r>
    </w:p>
    <w:p>
      <w:pPr>
        <w:spacing w:after="80" w:before="160"/>
      </w:pPr>
      <w:r>
        <w:rPr>
          <w:rFonts w:ascii="Arial" w:cs="Arial" w:eastAsia="Arial" w:hAnsi="Arial"/>
          <w:b/>
          <w:bCs/>
          <w:color w:val="0d1f44"/>
          <w:sz w:val="22"/>
          <w:szCs w:val="22"/>
        </w:rPr>
        <w:t xml:space="preserve">City Snapshots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160"/>
        <w:gridCol w:w="2160"/>
      </w:tblGrid>
      <w:tr>
        <w:trPr>
          <w:tblHeader/>
        </w:trPr>
        <w:tc>
          <w:tcPr>
            <w:tcW w:type="dxa" w:w="240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City</w:t>
            </w:r>
          </w:p>
        </w:tc>
        <w:tc>
          <w:tcPr>
            <w:tcW w:type="dxa" w:w="264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Benchmark Price</w:t>
            </w:r>
          </w:p>
        </w:tc>
        <w:tc>
          <w:tcPr>
            <w:tcW w:type="dxa" w:w="216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MoM</w:t>
            </w:r>
          </w:p>
        </w:tc>
        <w:tc>
          <w:tcPr>
            <w:tcW w:type="dxa" w:w="216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YoY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Calgary</w:t>
            </w:r>
          </w:p>
        </w:tc>
        <w:tc>
          <w:tcPr>
            <w:tcW w:type="dxa" w:w="2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Ottawa</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Toronto</w:t>
            </w:r>
          </w:p>
        </w:tc>
        <w:tc>
          <w:tcPr>
            <w:tcW w:type="dxa" w:w="2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Vancouver</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Montréal</w:t>
            </w:r>
          </w:p>
        </w:tc>
        <w:tc>
          <w:tcPr>
            <w:tcW w:type="dxa" w:w="2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c>
          <w:tcPr>
            <w:tcW w:type="dxa" w:w="2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TBC</w:t>
            </w:r>
          </w:p>
        </w:tc>
      </w:tr>
    </w:tbl>
    <w:p>
      <w:pPr>
        <w:spacing w:after="80" w:before="80"/>
      </w:pPr>
      <w:r>
        <w:rPr>
          <w:rFonts w:ascii="Arial" w:cs="Arial" w:eastAsia="Arial" w:hAnsi="Arial"/>
          <w:i/>
          <w:iCs/>
          <w:color w:val="64748B"/>
          <w:sz w:val="18"/>
          <w:szCs w:val="18"/>
        </w:rPr>
        <w:t xml:space="preserve">July 2026 CREA data will be incorporated upon release (expected August 15–18).</w:t>
      </w:r>
    </w:p>
    <w:p>
      <w:pPr>
        <w:spacing w:after="80" w:before="80"/>
      </w:pPr>
      <w:r>
        <w:rPr>
          <w:rFonts w:ascii="Arial" w:cs="Arial" w:eastAsia="Arial" w:hAnsi="Arial"/>
          <w:color w:val="374151"/>
          <w:sz w:val="20"/>
          <w:szCs w:val="20"/>
        </w:rPr>
        <w:t xml:space="preserve">With the BoC rate at 2.25% and no further cuts expected until at least September 2, buyer confidence has returned selectively. First-time buyers in mid-tier cities are better positioned than at any point in the past three years.</w:t>
      </w:r>
    </w:p>
    <w:p>
      <w:pPr>
        <w:pBdr>
          <w:bottom w:val="single" w:color="E5E7EB" w:sz="4" w:space="1"/>
        </w:pBdr>
        <w:spacing w:after="160" w:before="160"/>
      </w:pPr>
    </w:p>
    <w:p>
      <w:pPr>
        <w:pStyle w:val="Heading1"/>
        <w:pBdr>
          <w:left w:val="single" w:color="14B8A6" w:sz="18" w:space="8"/>
        </w:pBdr>
        <w:spacing w:after="120" w:before="320"/>
      </w:pPr>
      <w:r>
        <w:rPr>
          <w:rFonts w:ascii="Arial" w:cs="Arial" w:eastAsia="Arial" w:hAnsi="Arial"/>
          <w:b/>
          <w:bCs/>
          <w:color w:val="0d1f44"/>
          <w:sz w:val="28"/>
          <w:szCs w:val="28"/>
        </w:rPr>
        <w:t xml:space="preserve">4. Employment Snapshot</w:t>
      </w:r>
    </w:p>
    <w:p>
      <w:pPr>
        <w:spacing w:after="80" w:before="80"/>
      </w:pPr>
      <w:r>
        <w:rPr>
          <w:rFonts w:ascii="Arial" w:cs="Arial" w:eastAsia="Arial" w:hAnsi="Arial"/>
          <w:i/>
          <w:iCs/>
          <w:color w:val="64748B"/>
          <w:sz w:val="18"/>
          <w:szCs w:val="18"/>
        </w:rPr>
        <w:t xml:space="preserve">Source: Statistics Canada Labour Force Survey, June 2026 — July 2026 LFS releases August 7, 2026</w:t>
      </w:r>
    </w:p>
    <w:p>
      <w:pPr>
        <w:spacing w:after="80" w:before="80"/>
      </w:pPr>
      <w:r>
        <w:rPr>
          <w:rFonts w:ascii="Arial" w:cs="Arial" w:eastAsia="Arial" w:hAnsi="Arial"/>
          <w:color w:val="374151"/>
          <w:sz w:val="20"/>
          <w:szCs w:val="20"/>
        </w:rPr>
        <w:t xml:space="preserve">Canada's labour market continued its gradual recovery in June 2026:</w:t>
      </w:r>
    </w:p>
    <w:p>
      <w:pPr>
        <w:pStyle w:val="ListParagraph"/>
        <w:numPr>
          <w:ilvl w:val="0"/>
          <w:numId w:val="2"/>
        </w:numPr>
        <w:spacing w:after="40" w:before="40"/>
      </w:pPr>
      <w:r>
        <w:rPr>
          <w:rFonts w:ascii="Arial" w:cs="Arial" w:eastAsia="Arial" w:hAnsi="Arial"/>
          <w:color w:val="374151"/>
          <w:sz w:val="20"/>
          <w:szCs w:val="20"/>
        </w:rPr>
        <w:t xml:space="preserve">~18,000 net jobs added, sustaining positive momentum from spring</w:t>
      </w:r>
    </w:p>
    <w:p>
      <w:pPr>
        <w:pStyle w:val="ListParagraph"/>
        <w:numPr>
          <w:ilvl w:val="0"/>
          <w:numId w:val="2"/>
        </w:numPr>
        <w:spacing w:after="40" w:before="40"/>
      </w:pPr>
      <w:r>
        <w:rPr>
          <w:rFonts w:ascii="Arial" w:cs="Arial" w:eastAsia="Arial" w:hAnsi="Arial"/>
          <w:color w:val="374151"/>
          <w:sz w:val="20"/>
          <w:szCs w:val="20"/>
        </w:rPr>
        <w:t xml:space="preserve">Unemployment rate: 6.5% — down 0.3 percentage points from the prior month</w:t>
      </w:r>
    </w:p>
    <w:p>
      <w:pPr>
        <w:pStyle w:val="ListParagraph"/>
        <w:numPr>
          <w:ilvl w:val="0"/>
          <w:numId w:val="2"/>
        </w:numPr>
        <w:spacing w:after="40" w:before="40"/>
      </w:pPr>
      <w:r>
        <w:rPr>
          <w:rFonts w:ascii="Arial" w:cs="Arial" w:eastAsia="Arial" w:hAnsi="Arial"/>
          <w:color w:val="374151"/>
          <w:sz w:val="20"/>
          <w:szCs w:val="20"/>
        </w:rPr>
        <w:t xml:space="preserve">Youth employment improved for the second consecutive month, particularly in services and technology</w:t>
      </w:r>
    </w:p>
    <w:p>
      <w:pPr>
        <w:pStyle w:val="ListParagraph"/>
        <w:numPr>
          <w:ilvl w:val="0"/>
          <w:numId w:val="2"/>
        </w:numPr>
        <w:spacing w:after="40" w:before="40"/>
      </w:pPr>
      <w:r>
        <w:rPr>
          <w:rFonts w:ascii="Arial" w:cs="Arial" w:eastAsia="Arial" w:hAnsi="Arial"/>
          <w:color w:val="374151"/>
          <w:sz w:val="20"/>
          <w:szCs w:val="20"/>
        </w:rPr>
        <w:t xml:space="preserve">Manufacturing remains the weakest segment, reflecting global trade headwinds</w:t>
      </w:r>
    </w:p>
    <w:p>
      <w:pPr>
        <w:spacing w:after="0" w:before="80"/>
      </w:pPr>
    </w:p>
    <w:p>
      <w:pPr>
        <w:spacing w:after="80" w:before="80"/>
      </w:pPr>
      <w:r>
        <w:rPr>
          <w:rFonts w:ascii="Arial" w:cs="Arial" w:eastAsia="Arial" w:hAnsi="Arial"/>
          <w:color w:val="374151"/>
          <w:sz w:val="20"/>
          <w:szCs w:val="20"/>
        </w:rPr>
        <w:t xml:space="preserve">The combination of falling rents, lower interest rates, and steady job creation creates a more favourable environment for workers considering relocation — particularly those in high-demand sectors (healthcare, skilled trades, tech) where Lakive's city scoring shows strong cross-city opportunity gaps.</w:t>
      </w:r>
    </w:p>
    <w:p>
      <w:pPr>
        <w:pBdr>
          <w:left w:val="single" w:color="E86C2F" w:sz="12" w:space="8"/>
        </w:pBdr>
        <w:shd w:fill="FFF7ED" w:val="clear"/>
        <w:spacing w:after="120" w:before="120"/>
      </w:pPr>
      <w:r>
        <w:rPr>
          <w:rFonts w:ascii="Arial" w:cs="Arial" w:eastAsia="Arial" w:hAnsi="Arial"/>
          <w:b/>
          <w:bCs/>
          <w:color w:val="C2410C"/>
          <w:sz w:val="19"/>
          <w:szCs w:val="19"/>
        </w:rPr>
        <w:t xml:space="preserve">Upcoming: </w:t>
      </w:r>
      <w:r>
        <w:rPr>
          <w:rFonts w:ascii="Arial" w:cs="Arial" w:eastAsia="Arial" w:hAnsi="Arial"/>
          <w:color w:val="C2410C"/>
          <w:sz w:val="19"/>
          <w:szCs w:val="19"/>
        </w:rPr>
        <w:t xml:space="preserve">July 2026 LFS data releases August 7. Lakive will refresh the Employment Opportunity Index (EOI), city-level job comparisons, and this report upon release.</w:t>
      </w:r>
    </w:p>
    <w:p>
      <w:pPr>
        <w:pBdr>
          <w:bottom w:val="single" w:color="E5E7EB" w:sz="4" w:space="1"/>
        </w:pBdr>
        <w:spacing w:after="160" w:before="160"/>
      </w:pPr>
    </w:p>
    <w:p>
      <w:pPr>
        <w:pStyle w:val="Heading1"/>
        <w:pBdr>
          <w:left w:val="single" w:color="14B8A6" w:sz="18" w:space="8"/>
        </w:pBdr>
        <w:spacing w:after="120" w:before="320"/>
      </w:pPr>
      <w:r>
        <w:rPr>
          <w:rFonts w:ascii="Arial" w:cs="Arial" w:eastAsia="Arial" w:hAnsi="Arial"/>
          <w:b/>
          <w:bCs/>
          <w:color w:val="0d1f44"/>
          <w:sz w:val="28"/>
          <w:szCs w:val="28"/>
        </w:rPr>
        <w:t xml:space="preserve">5. Interest Rates &amp; Inflation</w:t>
      </w:r>
    </w:p>
    <w:p>
      <w:pPr>
        <w:pStyle w:val="Heading2"/>
        <w:spacing w:after="80" w:before="200"/>
      </w:pPr>
      <w:r>
        <w:rPr>
          <w:rFonts w:ascii="Arial" w:cs="Arial" w:eastAsia="Arial" w:hAnsi="Arial"/>
          <w:b/>
          <w:bCs/>
          <w:color w:val="0d1f44"/>
          <w:sz w:val="24"/>
          <w:szCs w:val="24"/>
        </w:rPr>
        <w:t xml:space="preserve">Bank of Canada — Policy Rate: 2.25%</w:t>
      </w:r>
    </w:p>
    <w:p>
      <w:pPr>
        <w:spacing w:after="80" w:before="80"/>
      </w:pPr>
      <w:r>
        <w:rPr>
          <w:rFonts w:ascii="Arial" w:cs="Arial" w:eastAsia="Arial" w:hAnsi="Arial"/>
          <w:color w:val="374151"/>
          <w:sz w:val="20"/>
          <w:szCs w:val="20"/>
        </w:rPr>
        <w:t xml:space="preserve">Announced July 15, 2026  ·  Next decision: September 2, 2026</w:t>
      </w:r>
    </w:p>
    <w:p>
      <w:pPr>
        <w:spacing w:after="0" w:before="80"/>
      </w:pPr>
    </w:p>
    <w:p>
      <w:pPr>
        <w:spacing w:after="80" w:before="80"/>
      </w:pPr>
      <w:r>
        <w:rPr>
          <w:rFonts w:ascii="Arial" w:cs="Arial" w:eastAsia="Arial" w:hAnsi="Arial"/>
          <w:color w:val="374151"/>
          <w:sz w:val="20"/>
          <w:szCs w:val="20"/>
        </w:rPr>
        <w:t xml:space="preserve">The Bank of Canada held its overnight rate at 2.25% at its July meeting. The Bank signalled that economic growth is expected to improve gradually and that inflation is on track to return to approximately 2%.</w:t>
      </w:r>
    </w:p>
    <w:p>
      <w:pPr>
        <w:spacing w:after="80" w:before="80"/>
      </w:pPr>
      <w:r>
        <w:rPr>
          <w:rFonts w:ascii="Arial" w:cs="Arial" w:eastAsia="Arial" w:hAnsi="Arial"/>
          <w:color w:val="374151"/>
          <w:sz w:val="20"/>
          <w:szCs w:val="20"/>
        </w:rPr>
        <w:t xml:space="preserve">This rate represents a significant easing cycle from the peak of 5.0% in 2023, making mortgage financing materially more accessible for qualified buyers in mid-tier Canadian cities.</w:t>
      </w:r>
    </w:p>
    <w:p>
      <w:pPr>
        <w:pStyle w:val="Heading2"/>
        <w:spacing w:after="80" w:before="200"/>
      </w:pPr>
      <w:r>
        <w:rPr>
          <w:rFonts w:ascii="Arial" w:cs="Arial" w:eastAsia="Arial" w:hAnsi="Arial"/>
          <w:b/>
          <w:bCs/>
          <w:color w:val="0d1f44"/>
          <w:sz w:val="24"/>
          <w:szCs w:val="24"/>
        </w:rPr>
        <w:t xml:space="preserve">CPI Inflation: 2.8% (June 2026)</w:t>
      </w:r>
    </w:p>
    <w:p>
      <w:pPr>
        <w:spacing w:after="80" w:before="80"/>
      </w:pPr>
      <w:r>
        <w:rPr>
          <w:rFonts w:ascii="Arial" w:cs="Arial" w:eastAsia="Arial" w:hAnsi="Arial"/>
          <w:color w:val="374151"/>
          <w:sz w:val="20"/>
          <w:szCs w:val="20"/>
        </w:rPr>
        <w:t xml:space="preserve">Statistics Canada releases July 2026 CPI data on August 17. The 2.8% inflation rate — down from highs above 8% in 2022 — means real purchasing power is recovering. In cities where rent has also fallen, the compound effect is a meaningful improvement in day-to-day affordability.</w:t>
      </w:r>
    </w:p>
    <w:p>
      <w:pPr>
        <w:pBdr>
          <w:bottom w:val="single" w:color="E5E7EB" w:sz="4" w:space="1"/>
        </w:pBdr>
        <w:spacing w:after="160" w:before="160"/>
      </w:pPr>
    </w:p>
    <w:p>
      <w:r>
        <w:br w:type="page"/>
      </w:r>
    </w:p>
    <w:p>
      <w:pPr>
        <w:pStyle w:val="Heading1"/>
        <w:pBdr>
          <w:left w:val="single" w:color="14B8A6" w:sz="18" w:space="8"/>
        </w:pBdr>
        <w:spacing w:after="120" w:before="320"/>
      </w:pPr>
      <w:r>
        <w:rPr>
          <w:rFonts w:ascii="Arial" w:cs="Arial" w:eastAsia="Arial" w:hAnsi="Arial"/>
          <w:b/>
          <w:bCs/>
          <w:color w:val="0d1f44"/>
          <w:sz w:val="28"/>
          <w:szCs w:val="28"/>
        </w:rPr>
        <w:t xml:space="preserve">6. Lakive City Insights</w:t>
      </w:r>
    </w:p>
    <w:p>
      <w:pPr>
        <w:pStyle w:val="Heading2"/>
        <w:spacing w:after="80" w:before="200"/>
      </w:pPr>
      <w:r>
        <w:rPr>
          <w:rFonts w:ascii="Arial" w:cs="Arial" w:eastAsia="Arial" w:hAnsi="Arial"/>
          <w:b/>
          <w:bCs/>
          <w:color w:val="0d1f44"/>
          <w:sz w:val="24"/>
          <w:szCs w:val="24"/>
        </w:rPr>
        <w:t xml:space="preserve">Calgary</w:t>
      </w:r>
    </w:p>
    <w:p>
      <w:pPr>
        <w:spacing w:after="80" w:before="80"/>
      </w:pPr>
      <w:r>
        <w:rPr>
          <w:rFonts w:ascii="Arial" w:cs="Arial" w:eastAsia="Arial" w:hAnsi="Arial"/>
          <w:color w:val="374151"/>
          <w:sz w:val="20"/>
          <w:szCs w:val="20"/>
        </w:rPr>
        <w:t xml:space="preserve">Continues to rank highly for workers in trades and energy sectors. Housing affordability pressure remains above the national average. Rental stabilization here happened earlier (2025) and the market has remained firm.</w:t>
      </w:r>
    </w:p>
    <w:p>
      <w:pPr>
        <w:pStyle w:val="Heading2"/>
        <w:spacing w:after="80" w:before="200"/>
      </w:pPr>
      <w:r>
        <w:rPr>
          <w:rFonts w:ascii="Arial" w:cs="Arial" w:eastAsia="Arial" w:hAnsi="Arial"/>
          <w:b/>
          <w:bCs/>
          <w:color w:val="0d1f44"/>
          <w:sz w:val="24"/>
          <w:szCs w:val="24"/>
        </w:rPr>
        <w:t xml:space="preserve">Ottawa</w:t>
      </w:r>
    </w:p>
    <w:p>
      <w:pPr>
        <w:spacing w:after="80" w:before="80"/>
      </w:pPr>
      <w:r>
        <w:rPr>
          <w:rFonts w:ascii="Arial" w:cs="Arial" w:eastAsia="Arial" w:hAnsi="Arial"/>
          <w:color w:val="374151"/>
          <w:sz w:val="20"/>
          <w:szCs w:val="20"/>
        </w:rPr>
        <w:t xml:space="preserve">Offers strong public sector and technology employment, with housing costs that remain more accessible than Toronto or Vancouver. June job data shows steady federal sector hiring.</w:t>
      </w:r>
    </w:p>
    <w:p>
      <w:pPr>
        <w:pStyle w:val="Heading2"/>
        <w:spacing w:after="80" w:before="200"/>
      </w:pPr>
      <w:r>
        <w:rPr>
          <w:rFonts w:ascii="Arial" w:cs="Arial" w:eastAsia="Arial" w:hAnsi="Arial"/>
          <w:b/>
          <w:bCs/>
          <w:color w:val="0d1f44"/>
          <w:sz w:val="24"/>
          <w:szCs w:val="24"/>
        </w:rPr>
        <w:t xml:space="preserve">Toronto</w:t>
      </w:r>
    </w:p>
    <w:p>
      <w:pPr>
        <w:spacing w:after="80" w:before="80"/>
      </w:pPr>
      <w:r>
        <w:rPr>
          <w:rFonts w:ascii="Arial" w:cs="Arial" w:eastAsia="Arial" w:hAnsi="Arial"/>
          <w:color w:val="374151"/>
          <w:sz w:val="20"/>
          <w:szCs w:val="20"/>
        </w:rPr>
        <w:t xml:space="preserve">Showing the most significant rental market shift: 21 months of YoY declines have materially improved the rent-to-income ratio for median earners. However, ownership affordability (Housing Years Index) remains stretched above 25 years for median-income households.</w:t>
      </w:r>
    </w:p>
    <w:p>
      <w:pPr>
        <w:pStyle w:val="Heading2"/>
        <w:spacing w:after="80" w:before="200"/>
      </w:pPr>
      <w:r>
        <w:rPr>
          <w:rFonts w:ascii="Arial" w:cs="Arial" w:eastAsia="Arial" w:hAnsi="Arial"/>
          <w:b/>
          <w:bCs/>
          <w:color w:val="0d1f44"/>
          <w:sz w:val="24"/>
          <w:szCs w:val="24"/>
        </w:rPr>
        <w:t xml:space="preserve">Vancouver</w:t>
      </w:r>
    </w:p>
    <w:p>
      <w:pPr>
        <w:spacing w:after="80" w:before="80"/>
      </w:pPr>
      <w:r>
        <w:rPr>
          <w:rFonts w:ascii="Arial" w:cs="Arial" w:eastAsia="Arial" w:hAnsi="Arial"/>
          <w:color w:val="374151"/>
          <w:sz w:val="20"/>
          <w:szCs w:val="20"/>
        </w:rPr>
        <w:t xml:space="preserve">Maintains the highest home ownership barrier of any Lakive-covered city, though the rental correction has been significant. Workers in healthcare and technology continue to find Vancouver's career opportunity index among the strongest.</w:t>
      </w:r>
    </w:p>
    <w:p>
      <w:pPr>
        <w:pStyle w:val="Heading2"/>
        <w:spacing w:after="80" w:before="200"/>
      </w:pPr>
      <w:r>
        <w:rPr>
          <w:rFonts w:ascii="Arial" w:cs="Arial" w:eastAsia="Arial" w:hAnsi="Arial"/>
          <w:b/>
          <w:bCs/>
          <w:color w:val="0d1f44"/>
          <w:sz w:val="24"/>
          <w:szCs w:val="24"/>
        </w:rPr>
        <w:t xml:space="preserve">Montréal</w:t>
      </w:r>
    </w:p>
    <w:p>
      <w:pPr>
        <w:spacing w:after="80" w:before="80"/>
      </w:pPr>
      <w:r>
        <w:rPr>
          <w:rFonts w:ascii="Arial" w:cs="Arial" w:eastAsia="Arial" w:hAnsi="Arial"/>
          <w:color w:val="374151"/>
          <w:sz w:val="20"/>
          <w:szCs w:val="20"/>
        </w:rPr>
        <w:t xml:space="preserve">Remains the most balanced of Lakive's core cities: below-average rent, improving employment, and a lower cost-of-living baseline than Toronto or Vancouver. For French-speaking professionals, it continues to lead on composite affordability.</w:t>
      </w:r>
    </w:p>
    <w:p>
      <w:pPr>
        <w:spacing w:after="80" w:before="80"/>
      </w:pPr>
      <w:r>
        <w:rPr>
          <w:rFonts w:ascii="Arial" w:cs="Arial" w:eastAsia="Arial" w:hAnsi="Arial"/>
          <w:color w:val="64748B"/>
          <w:sz w:val="20"/>
          <w:szCs w:val="20"/>
        </w:rPr>
        <w:t xml:space="preserve">Full city scores and comparisons available at lakive.com/ranking and lakive.com/compare.</w:t>
      </w:r>
    </w:p>
    <w:p>
      <w:pPr>
        <w:pBdr>
          <w:bottom w:val="single" w:color="E5E7EB" w:sz="4" w:space="1"/>
        </w:pBdr>
        <w:spacing w:after="160" w:before="160"/>
      </w:pPr>
    </w:p>
    <w:p>
      <w:pPr>
        <w:pStyle w:val="Heading1"/>
        <w:pBdr>
          <w:left w:val="single" w:color="14B8A6" w:sz="18" w:space="8"/>
        </w:pBdr>
        <w:spacing w:after="120" w:before="320"/>
      </w:pPr>
      <w:r>
        <w:rPr>
          <w:rFonts w:ascii="Arial" w:cs="Arial" w:eastAsia="Arial" w:hAnsi="Arial"/>
          <w:b/>
          <w:bCs/>
          <w:color w:val="0d1f44"/>
          <w:sz w:val="28"/>
          <w:szCs w:val="28"/>
        </w:rPr>
        <w:t xml:space="preserve">7. Methodology &amp; Data Sources</w:t>
      </w:r>
    </w:p>
    <w:p>
      <w:pPr>
        <w:spacing w:after="80" w:before="80"/>
      </w:pPr>
      <w:r>
        <w:rPr>
          <w:rFonts w:ascii="Arial" w:cs="Arial" w:eastAsia="Arial" w:hAnsi="Arial"/>
          <w:color w:val="374151"/>
          <w:sz w:val="20"/>
          <w:szCs w:val="20"/>
        </w:rPr>
        <w:t xml:space="preserve">Lakive's composite city scores are derived from publicly available government and industry data sources. The weighting methodology is proprietary. Data is updated as primary sources publish; Lakive does not produce original survey data.</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Category</w:t>
            </w:r>
          </w:p>
        </w:tc>
        <w:tc>
          <w:tcPr>
            <w:tcW w:type="dxa" w:w="336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c>
          <w:tcPr>
            <w:tcW w:type="dxa" w:w="3600"/>
            <w:tcBorders>
              <w:top w:val="single" w:color="0d1f44" w:sz="1"/>
              <w:left w:val="single" w:color="0d1f44" w:sz="1"/>
              <w:bottom w:val="single" w:color="0d1f44" w:sz="1"/>
              <w:right w:val="single" w:color="0d1f44" w:sz="1"/>
            </w:tcBorders>
            <w:shd w:fill="0d1f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Frequency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Rental Market</w:t>
            </w:r>
          </w:p>
        </w:tc>
        <w:tc>
          <w:tcPr>
            <w:tcW w:type="dxa" w:w="3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Rentals.ca × Urbanation</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Monthly (~8th of month)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Employment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Statistics Canada LFS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Monthly (first Friday)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Home Prices</w:t>
            </w:r>
          </w:p>
        </w:tc>
        <w:tc>
          <w:tcPr>
            <w:tcW w:type="dxa" w:w="3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CREA National Statistics</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Monthly (15–18th)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Inflation (CPI)</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Statistics Canada</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Monthly (15–18th)</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Interest Rate</w:t>
            </w:r>
          </w:p>
        </w:tc>
        <w:tc>
          <w:tcPr>
            <w:tcW w:type="dxa" w:w="3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Bank of Canada</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8× per year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1f44"/>
                <w:sz w:val="20"/>
                <w:szCs w:val="20"/>
              </w:rPr>
              <w:t xml:space="preserve">City Scores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Lakive proprietary model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827"/>
                <w:sz w:val="20"/>
                <w:szCs w:val="20"/>
              </w:rPr>
              <w:t xml:space="preserve">Updated each data release</w:t>
            </w:r>
          </w:p>
        </w:tc>
      </w:tr>
    </w:tbl>
    <w:p>
      <w:pPr>
        <w:spacing w:after="80" w:before="160"/>
      </w:pPr>
    </w:p>
    <w:p>
      <w:pPr>
        <w:spacing w:after="80" w:before="80"/>
      </w:pPr>
      <w:r>
        <w:rPr>
          <w:rFonts w:ascii="Arial" w:cs="Arial" w:eastAsia="Arial" w:hAnsi="Arial"/>
          <w:i/>
          <w:iCs/>
          <w:color w:val="64748B"/>
          <w:sz w:val="18"/>
          <w:szCs w:val="18"/>
        </w:rPr>
        <w:t xml:space="preserve">Employment figures cited are from the June 2026 Labour Force Survey (most recent available at time of publication). July 2026 employment data (releasing August 7) will be incorporated in the next update. CPI and CREA data updates are scheduled for mid-August.</w:t>
      </w:r>
    </w:p>
    <w:p>
      <w:pPr>
        <w:pBdr>
          <w:bottom w:val="single" w:color="E5E7EB" w:sz="4" w:space="1"/>
        </w:pBdr>
        <w:spacing w:after="160" w:before="160"/>
      </w:pPr>
    </w:p>
    <w:p>
      <w:pPr>
        <w:spacing w:after="40" w:before="120"/>
        <w:jc w:val="center"/>
      </w:pPr>
      <w:r>
        <w:rPr>
          <w:rFonts w:ascii="Arial" w:cs="Arial" w:eastAsia="Arial" w:hAnsi="Arial"/>
          <w:color w:val="64748B"/>
          <w:sz w:val="18"/>
          <w:szCs w:val="18"/>
        </w:rPr>
        <w:t xml:space="preserve">© 2026 Lakive. All rights reserved.</w:t>
      </w:r>
    </w:p>
    <w:p>
      <w:pPr>
        <w:spacing w:after="40" w:before="0"/>
        <w:jc w:val="center"/>
      </w:pPr>
      <w:r>
        <w:rPr>
          <w:rFonts w:ascii="Arial" w:cs="Arial" w:eastAsia="Arial" w:hAnsi="Arial"/>
          <w:i/>
          <w:iCs/>
          <w:color w:val="64748B"/>
          <w:sz w:val="16"/>
          <w:szCs w:val="16"/>
        </w:rPr>
        <w:t xml:space="preserve">This report is for informational purposes only and does not constitute financial or investment advice.</w:t>
      </w:r>
    </w:p>
    <w:p>
      <w:pPr>
        <w:spacing w:after="0" w:before="0"/>
        <w:jc w:val="center"/>
      </w:pPr>
      <w:r>
        <w:rPr>
          <w:rFonts w:ascii="Arial" w:cs="Arial" w:eastAsia="Arial" w:hAnsi="Arial"/>
          <w:color w:val="64748B"/>
          <w:sz w:val="16"/>
          <w:szCs w:val="16"/>
        </w:rPr>
        <w:t xml:space="preserve">Next monthly report: September 2026 (covering August 2026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64748B"/>
        <w:sz w:val="16"/>
        <w:szCs w:val="16"/>
      </w:rPr>
      <w:t xml:space="preserve">© 2026 Lakive  ·  lakive.com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B8A6" w:sz="4" w:space="4"/>
      </w:pBdr>
      <w:jc w:val="right"/>
    </w:pPr>
    <w:r>
      <w:rPr>
        <w:rFonts w:ascii="Arial" w:cs="Arial" w:eastAsia="Arial" w:hAnsi="Arial"/>
        <w:color w:val="64748B"/>
        <w:sz w:val="18"/>
        <w:szCs w:val="18"/>
      </w:rPr>
      <w:t xml:space="preserve">Lakive Monthly Report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f4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2026-08-06T04:50:25.091Z</dcterms:created>
  <dcterms:modified xsi:type="dcterms:W3CDTF">2026-08-06T04:50:25.092Z</dcterms:modified>
</cp:coreProperties>
</file>

<file path=docProps/custom.xml><?xml version="1.0" encoding="utf-8"?>
<Properties xmlns="http://schemas.openxmlformats.org/officeDocument/2006/custom-properties" xmlns:vt="http://schemas.openxmlformats.org/officeDocument/2006/docPropsVTypes"/>
</file>