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Arial" w:cs="Arial" w:eastAsia="Arial" w:hAnsi="Arial"/>
          <w:b/>
          <w:bCs/>
          <w:caps/>
          <w:color w:val="14B8A6"/>
          <w:sz w:val="17"/>
          <w:szCs w:val="17"/>
        </w:rPr>
        <w:t xml:space="preserve">LAKIVE MONTHLY REPORT  ·  DATA VERSION AUG 2026 v1</w:t>
      </w:r>
    </w:p>
    <w:p>
      <w:pPr>
        <w:pBdr>
          <w:left w:val="single" w:color="14B8A6" w:sz="24" w:space="10"/>
        </w:pBdr>
        <w:spacing w:after="80" w:before="0"/>
      </w:pPr>
      <w:r>
        <w:rPr>
          <w:rFonts w:ascii="Arial" w:cs="Arial" w:eastAsia="Arial" w:hAnsi="Arial"/>
          <w:b/>
          <w:bCs/>
          <w:color w:val="0d1f44"/>
          <w:sz w:val="40"/>
          <w:szCs w:val="40"/>
        </w:rPr>
        <w:t xml:space="preserve">Canada's Rental Market Continues to Stabilize</w:t>
      </w:r>
    </w:p>
    <w:p>
      <w:pPr>
        <w:spacing w:after="40" w:before="80"/>
      </w:pPr>
      <w:r>
        <w:rPr>
          <w:rFonts w:ascii="Arial" w:cs="Arial" w:eastAsia="Arial" w:hAnsi="Arial"/>
          <w:i/>
          <w:iCs/>
          <w:color w:val="64748B"/>
          <w:sz w:val="26"/>
          <w:szCs w:val="26"/>
        </w:rPr>
        <w:t xml:space="preserve">Housing, Jobs and the Economy at a Glance</w:t>
      </w:r>
    </w:p>
    <w:p>
      <w:pPr>
        <w:spacing w:after="280" w:before="40"/>
      </w:pPr>
      <w:r>
        <w:rPr>
          <w:rFonts w:ascii="Arial" w:cs="Arial" w:eastAsia="Arial" w:hAnsi="Arial"/>
          <w:color w:val="64748B"/>
          <w:sz w:val="18"/>
          <w:szCs w:val="18"/>
        </w:rPr>
        <w:t xml:space="preserve">Published August 5, 2026  ·  Lakive Research  ·  lakive.com</w:t>
      </w:r>
    </w:p>
    <w:p>
      <w:pPr>
        <w:pBdr>
          <w:bottom w:val="single" w:color="E5E7EB" w:sz="4" w:space="1"/>
        </w:pBdr>
        <w:spacing w:after="200" w:before="200"/>
      </w:pPr>
    </w:p>
    <w:p>
      <w:pPr>
        <w:spacing w:after="80" w:before="0"/>
      </w:pPr>
      <w:r>
        <w:rPr>
          <w:rFonts w:ascii="Arial" w:cs="Arial" w:eastAsia="Arial" w:hAnsi="Arial"/>
          <w:b/>
          <w:bCs/>
          <w:color w:val="0d1f44"/>
          <w:sz w:val="24"/>
          <w:szCs w:val="24"/>
        </w:rPr>
        <w:t xml:space="preserve">📋  What Changed This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80"/>
        <w:gridCol w:w="3000"/>
        <w:gridCol w:w="3000"/>
      </w:tblGrid>
      <w:tr>
        <w:trPr>
          <w:tblHeader/>
        </w:trPr>
        <w:tc>
          <w:tcPr>
            <w:tcW w:type="dxa" w:w="48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left"/>
            </w:pPr>
            <w:r>
              <w:rPr>
                <w:rFonts w:ascii="Arial" w:cs="Arial" w:eastAsia="Arial" w:hAnsi="Arial"/>
                <w:b/>
                <w:bCs/>
                <w:i w:val="false"/>
                <w:iCs w:val="false"/>
                <w:color w:val="FFFFFF"/>
                <w:sz w:val="20"/>
                <w:szCs w:val="20"/>
              </w:rPr>
              <w:t xml:space="preserve"/>
            </w:r>
          </w:p>
        </w:tc>
        <w:tc>
          <w:tcPr>
            <w:tcW w:type="dxa" w:w="288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left"/>
            </w:pPr>
            <w:r>
              <w:rPr>
                <w:rFonts w:ascii="Arial" w:cs="Arial" w:eastAsia="Arial" w:hAnsi="Arial"/>
                <w:b/>
                <w:bCs/>
                <w:i w:val="false"/>
                <w:iCs w:val="false"/>
                <w:color w:val="FFFFFF"/>
                <w:sz w:val="20"/>
                <w:szCs w:val="20"/>
              </w:rPr>
              <w:t xml:space="preserve">Indicator</w:t>
            </w:r>
          </w:p>
        </w:tc>
        <w:tc>
          <w:tcPr>
            <w:tcW w:type="dxa" w:w="300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20"/>
                <w:szCs w:val="20"/>
              </w:rPr>
              <w:t xml:space="preserve">Previous</w:t>
            </w:r>
          </w:p>
        </w:tc>
        <w:tc>
          <w:tcPr>
            <w:tcW w:type="dxa" w:w="300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20"/>
                <w:szCs w:val="20"/>
              </w:rPr>
              <w:t xml:space="preserve">Now</w:t>
            </w:r>
          </w:p>
        </w:tc>
      </w:tr>
      <w:tr>
        <w:tc>
          <w:tcPr>
            <w:tcW w:type="dxa" w:w="480"/>
            <w:tcBorders>
              <w:top w:val="single" w:color="D1D5DB" w:sz="1"/>
              <w:left w:val="single" w:color="D1D5DB" w:sz="1"/>
              <w:bottom w:val="single" w:color="D1D5DB" w:sz="1"/>
              <w:right w:val="single" w:color="D1D5DB" w:sz="1"/>
            </w:tcBorders>
            <w:shd w:fill="F0FDF4" w:val="clear"/>
            <w:tcMar>
              <w:top w:type="dxa" w:w="80"/>
              <w:left w:type="dxa" w:w="130"/>
              <w:bottom w:type="dxa" w:w="80"/>
              <w:right w:type="dxa" w:w="130"/>
            </w:tcMar>
            <w:vAlign w:val="center"/>
          </w:tcPr>
          <w:p>
            <w:pPr>
              <w:jc w:val="center"/>
            </w:pPr>
            <w:r>
              <w:rPr>
                <w:rFonts w:ascii="Arial" w:cs="Arial" w:eastAsia="Arial" w:hAnsi="Arial"/>
                <w:b/>
                <w:bCs/>
                <w:i w:val="false"/>
                <w:iCs w:val="false"/>
                <w:color w:val="059669"/>
                <w:sz w:val="20"/>
                <w:szCs w:val="20"/>
              </w:rPr>
              <w:t xml:space="preserve">▼</w:t>
            </w:r>
          </w:p>
        </w:tc>
        <w:tc>
          <w:tcPr>
            <w:tcW w:type="dxa" w:w="2880"/>
            <w:tcBorders>
              <w:top w:val="single" w:color="D1D5DB" w:sz="1"/>
              <w:left w:val="single" w:color="D1D5DB" w:sz="1"/>
              <w:bottom w:val="single" w:color="D1D5DB" w:sz="1"/>
              <w:right w:val="single" w:color="D1D5DB" w:sz="1"/>
            </w:tcBorders>
            <w:shd w:fill="F0FDF4"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National avg. asking rent</w:t>
            </w:r>
          </w:p>
        </w:tc>
        <w:tc>
          <w:tcPr>
            <w:tcW w:type="dxa" w:w="3000"/>
            <w:tcBorders>
              <w:top w:val="single" w:color="D1D5DB" w:sz="1"/>
              <w:left w:val="single" w:color="D1D5DB" w:sz="1"/>
              <w:bottom w:val="single" w:color="D1D5DB" w:sz="1"/>
              <w:right w:val="single" w:color="D1D5DB" w:sz="1"/>
            </w:tcBorders>
            <w:shd w:fill="F0FDF4"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111827"/>
                <w:sz w:val="20"/>
                <w:szCs w:val="20"/>
              </w:rPr>
              <w:t xml:space="preserve">CAD $2,121 (Jun)</w:t>
            </w:r>
          </w:p>
        </w:tc>
        <w:tc>
          <w:tcPr>
            <w:tcW w:type="dxa" w:w="3000"/>
            <w:tcBorders>
              <w:top w:val="single" w:color="D1D5DB" w:sz="1"/>
              <w:left w:val="single" w:color="D1D5DB" w:sz="1"/>
              <w:bottom w:val="single" w:color="D1D5DB" w:sz="1"/>
              <w:right w:val="single" w:color="D1D5DB" w:sz="1"/>
            </w:tcBorders>
            <w:shd w:fill="F0FDF4" w:val="clear"/>
            <w:tcMar>
              <w:top w:type="dxa" w:w="80"/>
              <w:left w:type="dxa" w:w="130"/>
              <w:bottom w:type="dxa" w:w="80"/>
              <w:right w:type="dxa" w:w="130"/>
            </w:tcMar>
            <w:vAlign w:val="center"/>
          </w:tcPr>
          <w:p>
            <w:pPr>
              <w:jc w:val="center"/>
            </w:pPr>
            <w:r>
              <w:rPr>
                <w:rFonts w:ascii="Arial" w:cs="Arial" w:eastAsia="Arial" w:hAnsi="Arial"/>
                <w:b/>
                <w:bCs/>
                <w:i w:val="false"/>
                <w:iCs w:val="false"/>
                <w:color w:val="059669"/>
                <w:sz w:val="20"/>
                <w:szCs w:val="20"/>
              </w:rPr>
              <w:t xml:space="preserve">CAD $2,033 (Jul) · ▼4.3% YoY</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059669"/>
                <w:sz w:val="20"/>
                <w:szCs w:val="20"/>
              </w:rPr>
              <w:t xml:space="preserv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Unemployment rate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111827"/>
                <w:sz w:val="20"/>
                <w:szCs w:val="20"/>
              </w:rPr>
              <w:t xml:space="preserve">6.8% (May)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059669"/>
                <w:sz w:val="20"/>
                <w:szCs w:val="20"/>
              </w:rPr>
              <w:t xml:space="preserve">6.5% (Jun) · ▼0.3%</w:t>
            </w:r>
          </w:p>
        </w:tc>
      </w:tr>
      <w:tr>
        <w:tc>
          <w:tcPr>
            <w:tcW w:type="dxa" w:w="480"/>
            <w:tcBorders>
              <w:top w:val="single" w:color="D1D5DB" w:sz="1"/>
              <w:left w:val="single" w:color="D1D5DB" w:sz="1"/>
              <w:bottom w:val="single" w:color="D1D5DB" w:sz="1"/>
              <w:right w:val="single" w:color="D1D5DB" w:sz="1"/>
            </w:tcBorders>
            <w:shd w:fill="F0FDF4" w:val="clear"/>
            <w:tcMar>
              <w:top w:type="dxa" w:w="80"/>
              <w:left w:type="dxa" w:w="130"/>
              <w:bottom w:type="dxa" w:w="80"/>
              <w:right w:type="dxa" w:w="130"/>
            </w:tcMar>
            <w:vAlign w:val="center"/>
          </w:tcPr>
          <w:p>
            <w:pPr>
              <w:jc w:val="center"/>
            </w:pPr>
            <w:r>
              <w:rPr>
                <w:rFonts w:ascii="Arial" w:cs="Arial" w:eastAsia="Arial" w:hAnsi="Arial"/>
                <w:b/>
                <w:bCs/>
                <w:i w:val="false"/>
                <w:iCs w:val="false"/>
                <w:color w:val="059669"/>
                <w:sz w:val="20"/>
                <w:szCs w:val="20"/>
              </w:rPr>
              <w:t xml:space="preserve">▼</w:t>
            </w:r>
          </w:p>
        </w:tc>
        <w:tc>
          <w:tcPr>
            <w:tcW w:type="dxa" w:w="2880"/>
            <w:tcBorders>
              <w:top w:val="single" w:color="D1D5DB" w:sz="1"/>
              <w:left w:val="single" w:color="D1D5DB" w:sz="1"/>
              <w:bottom w:val="single" w:color="D1D5DB" w:sz="1"/>
              <w:right w:val="single" w:color="D1D5DB" w:sz="1"/>
            </w:tcBorders>
            <w:shd w:fill="F0FDF4"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CPI Inflation</w:t>
            </w:r>
          </w:p>
        </w:tc>
        <w:tc>
          <w:tcPr>
            <w:tcW w:type="dxa" w:w="3000"/>
            <w:tcBorders>
              <w:top w:val="single" w:color="D1D5DB" w:sz="1"/>
              <w:left w:val="single" w:color="D1D5DB" w:sz="1"/>
              <w:bottom w:val="single" w:color="D1D5DB" w:sz="1"/>
              <w:right w:val="single" w:color="D1D5DB" w:sz="1"/>
            </w:tcBorders>
            <w:shd w:fill="F0FDF4"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111827"/>
                <w:sz w:val="20"/>
                <w:szCs w:val="20"/>
              </w:rPr>
              <w:t xml:space="preserve">3.2% (May)</w:t>
            </w:r>
          </w:p>
        </w:tc>
        <w:tc>
          <w:tcPr>
            <w:tcW w:type="dxa" w:w="3000"/>
            <w:tcBorders>
              <w:top w:val="single" w:color="D1D5DB" w:sz="1"/>
              <w:left w:val="single" w:color="D1D5DB" w:sz="1"/>
              <w:bottom w:val="single" w:color="D1D5DB" w:sz="1"/>
              <w:right w:val="single" w:color="D1D5DB" w:sz="1"/>
            </w:tcBorders>
            <w:shd w:fill="F0FDF4" w:val="clear"/>
            <w:tcMar>
              <w:top w:type="dxa" w:w="80"/>
              <w:left w:type="dxa" w:w="130"/>
              <w:bottom w:type="dxa" w:w="80"/>
              <w:right w:type="dxa" w:w="130"/>
            </w:tcMar>
            <w:vAlign w:val="center"/>
          </w:tcPr>
          <w:p>
            <w:pPr>
              <w:jc w:val="center"/>
            </w:pPr>
            <w:r>
              <w:rPr>
                <w:rFonts w:ascii="Arial" w:cs="Arial" w:eastAsia="Arial" w:hAnsi="Arial"/>
                <w:b/>
                <w:bCs/>
                <w:i w:val="false"/>
                <w:iCs w:val="false"/>
                <w:color w:val="059669"/>
                <w:sz w:val="20"/>
                <w:szCs w:val="20"/>
              </w:rPr>
              <w:t xml:space="preserve">2.8% (Jun) · ▼0.4%</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64748B"/>
                <w:sz w:val="20"/>
                <w:szCs w:val="20"/>
              </w:rPr>
              <w:t xml:space="preserv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BoC Policy Rate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111827"/>
                <w:sz w:val="20"/>
                <w:szCs w:val="20"/>
              </w:rPr>
              <w:t xml:space="preserve">2.25%</w:t>
            </w:r>
          </w:p>
        </w:tc>
        <w:tc>
          <w:tcPr>
            <w:tcW w:type="dxa" w:w="3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64748B"/>
                <w:sz w:val="20"/>
                <w:szCs w:val="20"/>
              </w:rPr>
              <w:t xml:space="preserve">2.25% · Held (Jul 15)</w:t>
            </w:r>
          </w:p>
        </w:tc>
      </w:tr>
    </w:tbl>
    <w:p>
      <w:pPr>
        <w:pBdr>
          <w:bottom w:val="single" w:color="E5E7EB" w:sz="4" w:space="1"/>
        </w:pBdr>
        <w:spacing w:after="200" w:before="200"/>
      </w:pPr>
    </w:p>
    <w:p>
      <w:pPr>
        <w:pStyle w:val="Heading1"/>
        <w:pBdr>
          <w:left w:val="single" w:color="14B8A6" w:sz="20" w:space="8"/>
        </w:pBdr>
        <w:spacing w:after="120" w:before="360"/>
      </w:pPr>
      <w:r>
        <w:rPr>
          <w:rFonts w:ascii="Arial" w:cs="Arial" w:eastAsia="Arial" w:hAnsi="Arial"/>
          <w:b/>
          <w:bCs/>
          <w:color w:val="0d1f44"/>
          <w:sz w:val="30"/>
          <w:szCs w:val="30"/>
        </w:rPr>
        <w:t xml:space="preserve">1. Executive Summary</w:t>
      </w:r>
    </w:p>
    <w:p>
      <w:pPr>
        <w:spacing w:after="80" w:before="80"/>
      </w:pPr>
      <w:r>
        <w:rPr>
          <w:rFonts w:ascii="Arial" w:cs="Arial" w:eastAsia="Arial" w:hAnsi="Arial"/>
          <w:color w:val="374151"/>
          <w:sz w:val="20"/>
          <w:szCs w:val="20"/>
        </w:rPr>
        <w:t xml:space="preserve">July 2026 delivers a rare combination: rents falling for a 21st consecutive month, inflation tracking toward target, the unemployment rate declining, and interest rates stable at a three-year low. For Canadians weighing a relocation or career move, this is the most favourable macro environment since before the 2022 rate cycle.</w:t>
      </w:r>
    </w:p>
    <w:p>
      <w:pPr>
        <w:spacing w:after="80" w:before="80"/>
      </w:pPr>
      <w:r>
        <w:rPr>
          <w:rFonts w:ascii="Arial" w:cs="Arial" w:eastAsia="Arial" w:hAnsi="Arial"/>
          <w:color w:val="374151"/>
          <w:sz w:val="20"/>
          <w:szCs w:val="20"/>
        </w:rPr>
        <w:t xml:space="preserve">The data is directionally positive — but the gains are uneven across cities and occupations. Calgary continues to dominate Lakive's composite scoring, while Vancouver carries the highest rent pressure of any covered city. Workers in healthcare and trades are best positioned to act now; renters waiting for further price drops in Toronto may find the floor arriving sooner than expected.</w:t>
      </w:r>
    </w:p>
    <w:p>
      <w:pPr>
        <w:spacing w:after="80" w:before="160"/>
      </w:pPr>
      <w:r>
        <w:rPr>
          <w:rFonts w:ascii="Arial" w:cs="Arial" w:eastAsia="Arial" w:hAnsi="Arial"/>
          <w:b/>
          <w:bCs/>
          <w:color w:val="0d1f44"/>
          <w:sz w:val="22"/>
          <w:szCs w:val="22"/>
        </w:rPr>
        <w:t xml:space="preserve">Key Numbers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3840"/>
      </w:tblGrid>
      <w:tr>
        <w:trPr>
          <w:tblHeader/>
        </w:trPr>
        <w:tc>
          <w:tcPr>
            <w:tcW w:type="dxa" w:w="360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left"/>
            </w:pPr>
            <w:r>
              <w:rPr>
                <w:rFonts w:ascii="Arial" w:cs="Arial" w:eastAsia="Arial" w:hAnsi="Arial"/>
                <w:b/>
                <w:bCs/>
                <w:i w:val="false"/>
                <w:iCs w:val="false"/>
                <w:color w:val="FFFFFF"/>
                <w:sz w:val="20"/>
                <w:szCs w:val="20"/>
              </w:rPr>
              <w:t xml:space="preserve">Indicator</w:t>
            </w:r>
          </w:p>
        </w:tc>
        <w:tc>
          <w:tcPr>
            <w:tcW w:type="dxa" w:w="192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20"/>
                <w:szCs w:val="20"/>
              </w:rPr>
              <w:t xml:space="preserve">Reading</w:t>
            </w:r>
          </w:p>
        </w:tc>
        <w:tc>
          <w:tcPr>
            <w:tcW w:type="dxa" w:w="384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left"/>
            </w:pPr>
            <w:r>
              <w:rPr>
                <w:rFonts w:ascii="Arial" w:cs="Arial" w:eastAsia="Arial" w:hAnsi="Arial"/>
                <w:b/>
                <w:bCs/>
                <w:i w:val="false"/>
                <w:iCs w:val="false"/>
                <w:color w:val="FFFFFF"/>
                <w:sz w:val="20"/>
                <w:szCs w:val="20"/>
              </w:rPr>
              <w:t xml:space="preserve">Signal</w:t>
            </w:r>
          </w:p>
        </w:tc>
      </w:tr>
      <w:tr>
        <w:tc>
          <w:tcPr>
            <w:tcW w:type="dxa" w:w="360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National Avg. Asking Rent</w:t>
            </w:r>
          </w:p>
        </w:tc>
        <w:tc>
          <w:tcPr>
            <w:tcW w:type="dxa" w:w="192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bCs/>
                <w:i w:val="false"/>
                <w:iCs w:val="false"/>
                <w:color w:val="111827"/>
                <w:sz w:val="20"/>
                <w:szCs w:val="20"/>
              </w:rPr>
              <w:t xml:space="preserve">CAD $2,033</w:t>
            </w:r>
          </w:p>
        </w:tc>
        <w:tc>
          <w:tcPr>
            <w:tcW w:type="dxa" w:w="384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59669"/>
                <w:sz w:val="20"/>
                <w:szCs w:val="20"/>
              </w:rPr>
              <w:t xml:space="preserve">▼ 4.3% YoY · 21st month of decline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Unemployment Rate (Jun 2026)</w:t>
            </w:r>
          </w:p>
        </w:tc>
        <w:tc>
          <w:tcPr>
            <w:tcW w:type="dxa" w:w="19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11827"/>
                <w:sz w:val="20"/>
                <w:szCs w:val="20"/>
              </w:rPr>
              <w:t xml:space="preserve">6.5%</w:t>
            </w:r>
          </w:p>
        </w:tc>
        <w:tc>
          <w:tcPr>
            <w:tcW w:type="dxa" w:w="384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59669"/>
                <w:sz w:val="20"/>
                <w:szCs w:val="20"/>
              </w:rPr>
              <w:t xml:space="preserve">▼ 0.3% vs prior month</w:t>
            </w:r>
          </w:p>
        </w:tc>
      </w:tr>
      <w:tr>
        <w:tc>
          <w:tcPr>
            <w:tcW w:type="dxa" w:w="360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Net Jobs Added (Jun 2026)</w:t>
            </w:r>
          </w:p>
        </w:tc>
        <w:tc>
          <w:tcPr>
            <w:tcW w:type="dxa" w:w="192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bCs/>
                <w:i w:val="false"/>
                <w:iCs w:val="false"/>
                <w:color w:val="111827"/>
                <w:sz w:val="20"/>
                <w:szCs w:val="20"/>
              </w:rPr>
              <w:t xml:space="preserve">~18,000</w:t>
            </w:r>
          </w:p>
        </w:tc>
        <w:tc>
          <w:tcPr>
            <w:tcW w:type="dxa" w:w="384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59669"/>
                <w:sz w:val="20"/>
                <w:szCs w:val="20"/>
              </w:rPr>
              <w:t xml:space="preserve">3rd consecutive month of growth</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BoC Policy Rate</w:t>
            </w:r>
          </w:p>
        </w:tc>
        <w:tc>
          <w:tcPr>
            <w:tcW w:type="dxa" w:w="19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11827"/>
                <w:sz w:val="20"/>
                <w:szCs w:val="20"/>
              </w:rPr>
              <w:t xml:space="preserve">2.25%</w:t>
            </w:r>
          </w:p>
        </w:tc>
        <w:tc>
          <w:tcPr>
            <w:tcW w:type="dxa" w:w="384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64748B"/>
                <w:sz w:val="20"/>
                <w:szCs w:val="20"/>
              </w:rPr>
              <w:t xml:space="preserve">Held — next decision Sep 2</w:t>
            </w:r>
          </w:p>
        </w:tc>
      </w:tr>
      <w:tr>
        <w:tc>
          <w:tcPr>
            <w:tcW w:type="dxa" w:w="360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CPI Inflation (Jun 2026)</w:t>
            </w:r>
          </w:p>
        </w:tc>
        <w:tc>
          <w:tcPr>
            <w:tcW w:type="dxa" w:w="192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bCs/>
                <w:i w:val="false"/>
                <w:iCs w:val="false"/>
                <w:color w:val="111827"/>
                <w:sz w:val="20"/>
                <w:szCs w:val="20"/>
              </w:rPr>
              <w:t xml:space="preserve">2.8%</w:t>
            </w:r>
          </w:p>
        </w:tc>
        <w:tc>
          <w:tcPr>
            <w:tcW w:type="dxa" w:w="384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59669"/>
                <w:sz w:val="20"/>
                <w:szCs w:val="20"/>
              </w:rPr>
              <w:t xml:space="preserve">▼ 0.4% vs prior · approaching 2% target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CREA Home Prices</w:t>
            </w:r>
          </w:p>
        </w:tc>
        <w:tc>
          <w:tcPr>
            <w:tcW w:type="dxa" w:w="19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11827"/>
                <w:sz w:val="20"/>
                <w:szCs w:val="20"/>
              </w:rPr>
              <w:t xml:space="preserve">Pending</w:t>
            </w:r>
          </w:p>
        </w:tc>
        <w:tc>
          <w:tcPr>
            <w:tcW w:type="dxa" w:w="384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D97706"/>
                <w:sz w:val="20"/>
                <w:szCs w:val="20"/>
              </w:rPr>
              <w:t xml:space="preserve">July data due Aug 15–18</w:t>
            </w:r>
          </w:p>
        </w:tc>
      </w:tr>
    </w:tbl>
    <w:p>
      <w:pPr>
        <w:spacing w:after="80" w:before="200"/>
      </w:pPr>
      <w:r>
        <w:rPr>
          <w:rFonts w:ascii="Arial" w:cs="Arial" w:eastAsia="Arial" w:hAnsi="Arial"/>
          <w:b/>
          <w:bCs/>
          <w:color w:val="0d1f44"/>
          <w:sz w:val="22"/>
          <w:szCs w:val="22"/>
        </w:rPr>
        <w:t xml:space="preserve">5 Actionable Takeaways</w:t>
      </w:r>
    </w:p>
    <w:p>
      <w:pPr>
        <w:pStyle w:val="ListParagraph"/>
        <w:numPr>
          <w:ilvl w:val="0"/>
          <w:numId w:val="2"/>
        </w:numPr>
        <w:spacing w:after="40" w:before="40"/>
      </w:pPr>
      <w:r>
        <w:rPr>
          <w:rFonts w:ascii="Arial" w:cs="Arial" w:eastAsia="Arial" w:hAnsi="Arial"/>
          <w:color w:val="374151"/>
          <w:sz w:val="20"/>
          <w:szCs w:val="20"/>
        </w:rPr>
        <w:t xml:space="preserve">Trades workers: Calgary is the clearest opportunity — an electrician can reach home ownership in under 4 years (Lakive HPI: 3.9 yrs), with a composite score of 91/100.</w:t>
      </w:r>
    </w:p>
    <w:p>
      <w:pPr>
        <w:pStyle w:val="ListParagraph"/>
        <w:numPr>
          <w:ilvl w:val="0"/>
          <w:numId w:val="2"/>
        </w:numPr>
        <w:spacing w:after="40" w:before="40"/>
      </w:pPr>
      <w:r>
        <w:rPr>
          <w:rFonts w:ascii="Arial" w:cs="Arial" w:eastAsia="Arial" w:hAnsi="Arial"/>
          <w:color w:val="374151"/>
          <w:sz w:val="20"/>
          <w:szCs w:val="20"/>
        </w:rPr>
        <w:t xml:space="preserve">Healthcare workers: Ottawa and Calgary both score 80+ for nurses. Ottawa offers federal-sector stability; Calgary offers faster ownership timelines.</w:t>
      </w:r>
    </w:p>
    <w:p>
      <w:pPr>
        <w:pStyle w:val="ListParagraph"/>
        <w:numPr>
          <w:ilvl w:val="0"/>
          <w:numId w:val="2"/>
        </w:numPr>
        <w:spacing w:after="40" w:before="40"/>
      </w:pPr>
      <w:r>
        <w:rPr>
          <w:rFonts w:ascii="Arial" w:cs="Arial" w:eastAsia="Arial" w:hAnsi="Arial"/>
          <w:color w:val="374151"/>
          <w:sz w:val="20"/>
          <w:szCs w:val="20"/>
        </w:rPr>
        <w:t xml:space="preserve">Tech professionals: Toronto's EOI of 92 remains the highest in Canada. At 9.2 years to ownership, the housing gap vs. Calgary (5.2 yrs) is real but manageable for high earners.</w:t>
      </w:r>
    </w:p>
    <w:p>
      <w:pPr>
        <w:pStyle w:val="ListParagraph"/>
        <w:numPr>
          <w:ilvl w:val="0"/>
          <w:numId w:val="2"/>
        </w:numPr>
        <w:spacing w:after="40" w:before="40"/>
      </w:pPr>
      <w:r>
        <w:rPr>
          <w:rFonts w:ascii="Arial" w:cs="Arial" w:eastAsia="Arial" w:hAnsi="Arial"/>
          <w:color w:val="374151"/>
          <w:sz w:val="20"/>
          <w:szCs w:val="20"/>
        </w:rPr>
        <w:t xml:space="preserve">Renters: National rents are down 4.3% YoY and Toronto shows early stabilization signals. If you're planning to move, locking in a lease in late 2026 may beat waiting for further drops.</w:t>
      </w:r>
    </w:p>
    <w:p>
      <w:pPr>
        <w:pStyle w:val="ListParagraph"/>
        <w:numPr>
          <w:ilvl w:val="0"/>
          <w:numId w:val="2"/>
        </w:numPr>
        <w:spacing w:after="40" w:before="40"/>
      </w:pPr>
      <w:r>
        <w:rPr>
          <w:rFonts w:ascii="Arial" w:cs="Arial" w:eastAsia="Arial" w:hAnsi="Arial"/>
          <w:color w:val="374151"/>
          <w:sz w:val="20"/>
          <w:szCs w:val="20"/>
        </w:rPr>
        <w:t xml:space="preserve">Buyers: With BoC at 2.25% and no cut expected before September 2, mortgage conditions are stable. Mid-tier cities (Ottawa, Calgary, Montréal) offer the best entry points on a salary-adjusted basis.</w:t>
      </w:r>
    </w:p>
    <w:p>
      <w:pPr>
        <w:pBdr>
          <w:bottom w:val="single" w:color="E5E7EB" w:sz="4" w:space="1"/>
        </w:pBdr>
        <w:spacing w:after="200" w:before="200"/>
      </w:pPr>
    </w:p>
    <w:p>
      <w:pPr>
        <w:pStyle w:val="Heading1"/>
        <w:pBdr>
          <w:left w:val="single" w:color="14B8A6" w:sz="20" w:space="8"/>
        </w:pBdr>
        <w:spacing w:after="120" w:before="360"/>
      </w:pPr>
      <w:r>
        <w:rPr>
          <w:rFonts w:ascii="Arial" w:cs="Arial" w:eastAsia="Arial" w:hAnsi="Arial"/>
          <w:b/>
          <w:bCs/>
          <w:color w:val="0d1f44"/>
          <w:sz w:val="30"/>
          <w:szCs w:val="30"/>
        </w:rPr>
        <w:t xml:space="preserve">2. National Rental Market</w:t>
      </w:r>
    </w:p>
    <w:p>
      <w:pPr>
        <w:spacing w:after="60" w:before="60"/>
      </w:pPr>
      <w:r>
        <w:rPr>
          <w:rFonts w:ascii="Arial" w:cs="Arial" w:eastAsia="Arial" w:hAnsi="Arial"/>
          <w:i/>
          <w:iCs/>
          <w:color w:val="64748B"/>
          <w:sz w:val="18"/>
          <w:szCs w:val="18"/>
        </w:rPr>
        <w:t xml:space="preserve">Source: Rentals.ca × Urbanation National Rent Report, July 8, 2026</w:t>
      </w:r>
    </w:p>
    <w:p>
      <w:pPr>
        <w:spacing w:after="80" w:before="80"/>
      </w:pPr>
      <w:r>
        <w:rPr>
          <w:rFonts w:ascii="Arial" w:cs="Arial" w:eastAsia="Arial" w:hAnsi="Arial"/>
          <w:color w:val="374151"/>
          <w:sz w:val="20"/>
          <w:szCs w:val="20"/>
        </w:rPr>
        <w:t xml:space="preserve">National average asking rent reached CAD $2,033 in July — the 21st consecutive month of year-over-year decline. The sustained softening reflects elevated purpose-built completions, reduced interprovincial migration, and a structural shift in tenant leverage that has now lasted nearly two years.</w:t>
      </w:r>
    </w:p>
    <w:p>
      <w:pPr>
        <w:spacing w:after="80" w:before="80"/>
      </w:pPr>
      <w:r>
        <w:rPr>
          <w:rFonts w:ascii="Arial" w:cs="Arial" w:eastAsia="Arial" w:hAnsi="Arial"/>
          <w:color w:val="374151"/>
          <w:sz w:val="20"/>
          <w:szCs w:val="20"/>
        </w:rPr>
        <w:t xml:space="preserve">Month-over-month, rents edged slightly higher for a second consecutive month — an early signal that the correction floor is approaching. Toronto is the clearest example of this stabilization, driven by absorption of newly completed units in the GTA.</w:t>
      </w:r>
    </w:p>
    <w:p>
      <w:pPr>
        <w:pBdr>
          <w:left w:val="single" w:color="14B8A6" w:sz="14" w:space="8"/>
        </w:pBdr>
        <w:shd w:fill="F0FDFA" w:val="clear"/>
        <w:spacing w:after="120" w:before="120"/>
      </w:pPr>
      <w:r>
        <w:rPr>
          <w:rFonts w:ascii="Arial" w:cs="Arial" w:eastAsia="Arial" w:hAnsi="Arial"/>
          <w:b/>
          <w:bCs/>
          <w:color w:val="0D9488"/>
          <w:sz w:val="19"/>
          <w:szCs w:val="19"/>
        </w:rPr>
        <w:t xml:space="preserve">Lakive Interpretation: </w:t>
      </w:r>
      <w:r>
        <w:rPr>
          <w:rFonts w:ascii="Arial" w:cs="Arial" w:eastAsia="Arial" w:hAnsi="Arial"/>
          <w:color w:val="1F2937"/>
          <w:sz w:val="19"/>
          <w:szCs w:val="19"/>
        </w:rPr>
        <w:t xml:space="preserve">Renters in Toronto who have been waiting for the bottom may be close to it. In Calgary and Ottawa, rents never fell as sharply — affordability there is driven by income-to-rent ratios, not price drops. Our RPI (Rent Pressure Index) for Calgary sits at 34 vs. Vancouver's 52 — a 53% difference in rent burden relative to median income.</w:t>
      </w:r>
    </w:p>
    <w:p>
      <w:pPr>
        <w:pBdr>
          <w:bottom w:val="single" w:color="E5E7EB" w:sz="4" w:space="1"/>
        </w:pBdr>
        <w:spacing w:after="200" w:before="200"/>
      </w:pPr>
    </w:p>
    <w:p>
      <w:pPr>
        <w:pStyle w:val="Heading1"/>
        <w:pBdr>
          <w:left w:val="single" w:color="14B8A6" w:sz="20" w:space="8"/>
        </w:pBdr>
        <w:spacing w:after="120" w:before="360"/>
      </w:pPr>
      <w:r>
        <w:rPr>
          <w:rFonts w:ascii="Arial" w:cs="Arial" w:eastAsia="Arial" w:hAnsi="Arial"/>
          <w:b/>
          <w:bCs/>
          <w:color w:val="0d1f44"/>
          <w:sz w:val="30"/>
          <w:szCs w:val="30"/>
        </w:rPr>
        <w:t xml:space="preserve">3. Housing Market &amp; Lakive HPI</w:t>
      </w:r>
    </w:p>
    <w:p>
      <w:pPr>
        <w:spacing w:after="60" w:before="60"/>
      </w:pPr>
      <w:r>
        <w:rPr>
          <w:rFonts w:ascii="Arial" w:cs="Arial" w:eastAsia="Arial" w:hAnsi="Arial"/>
          <w:i/>
          <w:iCs/>
          <w:color w:val="64748B"/>
          <w:sz w:val="18"/>
          <w:szCs w:val="18"/>
        </w:rPr>
        <w:t xml:space="preserve">CREA July 2026 data pending (expected Aug 15–18). Lakive Housing Years Index (HPI) reflects current model calculations.</w:t>
      </w:r>
    </w:p>
    <w:p>
      <w:pPr>
        <w:spacing w:after="80" w:before="80"/>
      </w:pPr>
      <w:r>
        <w:rPr>
          <w:rFonts w:ascii="Arial" w:cs="Arial" w:eastAsia="Arial" w:hAnsi="Arial"/>
          <w:color w:val="374151"/>
          <w:sz w:val="20"/>
          <w:szCs w:val="20"/>
        </w:rPr>
        <w:t xml:space="preserve">In the absence of July CREA benchmark prices, Lakive's proprietary Housing Years Index provides the most current city-level affordability picture. HPI measures how many years of median after-tax income a worker in a given occupation needs to accumulate a 20% down payment at current home prices.</w:t>
      </w:r>
    </w:p>
    <w:p>
      <w:pPr>
        <w:spacing w:after="80" w:before="160"/>
      </w:pPr>
      <w:r>
        <w:rPr>
          <w:rFonts w:ascii="Arial" w:cs="Arial" w:eastAsia="Arial" w:hAnsi="Arial"/>
          <w:b/>
          <w:bCs/>
          <w:color w:val="0d1f44"/>
          <w:sz w:val="22"/>
          <w:szCs w:val="22"/>
        </w:rPr>
        <w:t xml:space="preserve">Lakive City Scores — July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200"/>
        <w:gridCol w:w="1560"/>
        <w:gridCol w:w="1680"/>
        <w:gridCol w:w="1080"/>
        <w:gridCol w:w="2160"/>
      </w:tblGrid>
      <w:tr>
        <w:trPr>
          <w:tblHeader/>
        </w:trPr>
        <w:tc>
          <w:tcPr>
            <w:tcW w:type="dxa" w:w="168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left"/>
            </w:pPr>
            <w:r>
              <w:rPr>
                <w:rFonts w:ascii="Arial" w:cs="Arial" w:eastAsia="Arial" w:hAnsi="Arial"/>
                <w:b/>
                <w:bCs/>
                <w:i w:val="false"/>
                <w:iCs w:val="false"/>
                <w:color w:val="FFFFFF"/>
                <w:sz w:val="20"/>
                <w:szCs w:val="20"/>
              </w:rPr>
              <w:t xml:space="preserve">City</w:t>
            </w:r>
          </w:p>
        </w:tc>
        <w:tc>
          <w:tcPr>
            <w:tcW w:type="dxa" w:w="120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20"/>
                <w:szCs w:val="20"/>
              </w:rPr>
              <w:t xml:space="preserve">Avg Score</w:t>
            </w:r>
          </w:p>
        </w:tc>
        <w:tc>
          <w:tcPr>
            <w:tcW w:type="dxa" w:w="156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20"/>
                <w:szCs w:val="20"/>
              </w:rPr>
              <w:t xml:space="preserve">EOI / TAI</w:t>
            </w:r>
          </w:p>
        </w:tc>
        <w:tc>
          <w:tcPr>
            <w:tcW w:type="dxa" w:w="168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20"/>
                <w:szCs w:val="20"/>
              </w:rPr>
              <w:t xml:space="preserve">HPI (yrs to buy)</w:t>
            </w:r>
          </w:p>
        </w:tc>
        <w:tc>
          <w:tcPr>
            <w:tcW w:type="dxa" w:w="108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20"/>
                <w:szCs w:val="20"/>
              </w:rPr>
              <w:t xml:space="preserve">Avg RPI</w:t>
            </w:r>
          </w:p>
        </w:tc>
        <w:tc>
          <w:tcPr>
            <w:tcW w:type="dxa" w:w="216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left"/>
            </w:pPr>
            <w:r>
              <w:rPr>
                <w:rFonts w:ascii="Arial" w:cs="Arial" w:eastAsia="Arial" w:hAnsi="Arial"/>
                <w:b/>
                <w:bCs/>
                <w:i w:val="false"/>
                <w:iCs w:val="false"/>
                <w:color w:val="FFFFFF"/>
                <w:sz w:val="20"/>
                <w:szCs w:val="20"/>
              </w:rPr>
              <w:t xml:space="preserve">Key Signal</w:t>
            </w:r>
          </w:p>
        </w:tc>
      </w:tr>
      <w:tr>
        <w:tc>
          <w:tcPr>
            <w:tcW w:type="dxa" w:w="168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bCs/>
                <w:i w:val="false"/>
                <w:iCs w:val="false"/>
                <w:color w:val="0d1f44"/>
                <w:sz w:val="20"/>
                <w:szCs w:val="20"/>
              </w:rPr>
              <w:t xml:space="preserve">Calgary</w:t>
            </w:r>
          </w:p>
        </w:tc>
        <w:tc>
          <w:tcPr>
            <w:tcW w:type="dxa" w:w="120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bCs/>
                <w:i w:val="false"/>
                <w:iCs w:val="false"/>
                <w:color w:val="059669"/>
                <w:sz w:val="20"/>
                <w:szCs w:val="20"/>
              </w:rPr>
              <w:t xml:space="preserve">74</w:t>
            </w:r>
          </w:p>
        </w:tc>
        <w:tc>
          <w:tcPr>
            <w:tcW w:type="dxa" w:w="156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111827"/>
                <w:sz w:val="20"/>
                <w:szCs w:val="20"/>
              </w:rPr>
              <w:t xml:space="preserve">65 / 90</w:t>
            </w:r>
          </w:p>
        </w:tc>
        <w:tc>
          <w:tcPr>
            <w:tcW w:type="dxa" w:w="168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111827"/>
                <w:sz w:val="20"/>
                <w:szCs w:val="20"/>
              </w:rPr>
              <w:t xml:space="preserve">2.5–22 yrs</w:t>
            </w:r>
          </w:p>
        </w:tc>
        <w:tc>
          <w:tcPr>
            <w:tcW w:type="dxa" w:w="108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59669"/>
                <w:sz w:val="20"/>
                <w:szCs w:val="20"/>
              </w:rPr>
              <w:t xml:space="preserve">34</w:t>
            </w:r>
          </w:p>
        </w:tc>
        <w:tc>
          <w:tcPr>
            <w:tcW w:type="dxa" w:w="216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64748B"/>
                <w:sz w:val="18"/>
                <w:szCs w:val="18"/>
              </w:rPr>
              <w:t xml:space="preserve">Strongest overall · no PST</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d1f44"/>
                <w:sz w:val="20"/>
                <w:szCs w:val="20"/>
              </w:rPr>
              <w:t xml:space="preserve">Ottawa</w:t>
            </w:r>
          </w:p>
        </w:tc>
        <w:tc>
          <w:tcPr>
            <w:tcW w:type="dxa" w:w="1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D97706"/>
                <w:sz w:val="20"/>
                <w:szCs w:val="20"/>
              </w:rPr>
              <w:t xml:space="preserve">68</w:t>
            </w:r>
          </w:p>
        </w:tc>
        <w:tc>
          <w:tcPr>
            <w:tcW w:type="dxa" w:w="1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111827"/>
                <w:sz w:val="20"/>
                <w:szCs w:val="20"/>
              </w:rPr>
              <w:t xml:space="preserve">75 / 68</w:t>
            </w:r>
          </w:p>
        </w:tc>
        <w:tc>
          <w:tcPr>
            <w:tcW w:type="dxa" w:w="16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111827"/>
                <w:sz w:val="20"/>
                <w:szCs w:val="20"/>
              </w:rPr>
              <w:t xml:space="preserve">3.0–26 yrs</w:t>
            </w:r>
          </w:p>
        </w:tc>
        <w:tc>
          <w:tcPr>
            <w:tcW w:type="dxa" w:w="10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D97706"/>
                <w:sz w:val="20"/>
                <w:szCs w:val="20"/>
              </w:rPr>
              <w:t xml:space="preserve">37</w:t>
            </w:r>
          </w:p>
        </w:tc>
        <w:tc>
          <w:tcPr>
            <w:tcW w:type="dxa" w:w="21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64748B"/>
                <w:sz w:val="18"/>
                <w:szCs w:val="18"/>
              </w:rPr>
              <w:t xml:space="preserve">Best public sector stability</w:t>
            </w:r>
          </w:p>
        </w:tc>
      </w:tr>
      <w:tr>
        <w:tc>
          <w:tcPr>
            <w:tcW w:type="dxa" w:w="168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bCs/>
                <w:i w:val="false"/>
                <w:iCs w:val="false"/>
                <w:color w:val="0d1f44"/>
                <w:sz w:val="20"/>
                <w:szCs w:val="20"/>
              </w:rPr>
              <w:t xml:space="preserve">Toronto</w:t>
            </w:r>
          </w:p>
        </w:tc>
        <w:tc>
          <w:tcPr>
            <w:tcW w:type="dxa" w:w="120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bCs/>
                <w:i w:val="false"/>
                <w:iCs w:val="false"/>
                <w:color w:val="D97706"/>
                <w:sz w:val="20"/>
                <w:szCs w:val="20"/>
              </w:rPr>
              <w:t xml:space="preserve">60</w:t>
            </w:r>
          </w:p>
        </w:tc>
        <w:tc>
          <w:tcPr>
            <w:tcW w:type="dxa" w:w="156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111827"/>
                <w:sz w:val="20"/>
                <w:szCs w:val="20"/>
              </w:rPr>
              <w:t xml:space="preserve">92 / 68</w:t>
            </w:r>
          </w:p>
        </w:tc>
        <w:tc>
          <w:tcPr>
            <w:tcW w:type="dxa" w:w="168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111827"/>
                <w:sz w:val="20"/>
                <w:szCs w:val="20"/>
              </w:rPr>
              <w:t xml:space="preserve">4.5–39 yrs</w:t>
            </w:r>
          </w:p>
        </w:tc>
        <w:tc>
          <w:tcPr>
            <w:tcW w:type="dxa" w:w="108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DC2626"/>
                <w:sz w:val="20"/>
                <w:szCs w:val="20"/>
              </w:rPr>
              <w:t xml:space="preserve">49</w:t>
            </w:r>
          </w:p>
        </w:tc>
        <w:tc>
          <w:tcPr>
            <w:tcW w:type="dxa" w:w="216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64748B"/>
                <w:sz w:val="18"/>
                <w:szCs w:val="18"/>
              </w:rPr>
              <w:t xml:space="preserve">Top EOI · high housing pressure</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d1f44"/>
                <w:sz w:val="20"/>
                <w:szCs w:val="20"/>
              </w:rPr>
              <w:t xml:space="preserve">Vancouver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DC2626"/>
                <w:sz w:val="20"/>
                <w:szCs w:val="20"/>
              </w:rPr>
              <w:t xml:space="preserve">59</w:t>
            </w:r>
          </w:p>
        </w:tc>
        <w:tc>
          <w:tcPr>
            <w:tcW w:type="dxa" w:w="1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111827"/>
                <w:sz w:val="20"/>
                <w:szCs w:val="20"/>
              </w:rPr>
              <w:t xml:space="preserve">80 / 72</w:t>
            </w:r>
          </w:p>
        </w:tc>
        <w:tc>
          <w:tcPr>
            <w:tcW w:type="dxa" w:w="16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111827"/>
                <w:sz w:val="20"/>
                <w:szCs w:val="20"/>
              </w:rPr>
              <w:t xml:space="preserve">5.5–42 yrs</w:t>
            </w:r>
          </w:p>
        </w:tc>
        <w:tc>
          <w:tcPr>
            <w:tcW w:type="dxa" w:w="10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DC2626"/>
                <w:sz w:val="20"/>
                <w:szCs w:val="20"/>
              </w:rPr>
              <w:t xml:space="preserve">52</w:t>
            </w:r>
          </w:p>
        </w:tc>
        <w:tc>
          <w:tcPr>
            <w:tcW w:type="dxa" w:w="21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64748B"/>
                <w:sz w:val="18"/>
                <w:szCs w:val="18"/>
              </w:rPr>
              <w:t xml:space="preserve">Highest rent pressure nationally</w:t>
            </w:r>
          </w:p>
        </w:tc>
      </w:tr>
      <w:tr>
        <w:tc>
          <w:tcPr>
            <w:tcW w:type="dxa" w:w="168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bCs/>
                <w:i w:val="false"/>
                <w:iCs w:val="false"/>
                <w:color w:val="0d1f44"/>
                <w:sz w:val="20"/>
                <w:szCs w:val="20"/>
              </w:rPr>
              <w:t xml:space="preserve">Montréal</w:t>
            </w:r>
          </w:p>
        </w:tc>
        <w:tc>
          <w:tcPr>
            <w:tcW w:type="dxa" w:w="120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bCs/>
                <w:i w:val="false"/>
                <w:iCs w:val="false"/>
                <w:color w:val="D97706"/>
                <w:sz w:val="20"/>
                <w:szCs w:val="20"/>
              </w:rPr>
              <w:t xml:space="preserve">60</w:t>
            </w:r>
          </w:p>
        </w:tc>
        <w:tc>
          <w:tcPr>
            <w:tcW w:type="dxa" w:w="156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111827"/>
                <w:sz w:val="20"/>
                <w:szCs w:val="20"/>
              </w:rPr>
              <w:t xml:space="preserve">72 / 42</w:t>
            </w:r>
          </w:p>
        </w:tc>
        <w:tc>
          <w:tcPr>
            <w:tcW w:type="dxa" w:w="168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111827"/>
                <w:sz w:val="20"/>
                <w:szCs w:val="20"/>
              </w:rPr>
              <w:t xml:space="preserve">2.6–23 yrs</w:t>
            </w:r>
          </w:p>
        </w:tc>
        <w:tc>
          <w:tcPr>
            <w:tcW w:type="dxa" w:w="108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59669"/>
                <w:sz w:val="20"/>
                <w:szCs w:val="20"/>
              </w:rPr>
              <w:t xml:space="preserve">34</w:t>
            </w:r>
          </w:p>
        </w:tc>
        <w:tc>
          <w:tcPr>
            <w:tcW w:type="dxa" w:w="216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64748B"/>
                <w:sz w:val="18"/>
                <w:szCs w:val="18"/>
              </w:rPr>
              <w:t xml:space="preserve">Best French-market affordability</w:t>
            </w:r>
          </w:p>
        </w:tc>
      </w:tr>
    </w:tbl>
    <w:p>
      <w:pPr>
        <w:spacing w:after="40" w:before="80"/>
      </w:pPr>
    </w:p>
    <w:p>
      <w:pPr>
        <w:spacing w:after="60" w:before="60"/>
      </w:pPr>
      <w:r>
        <w:rPr>
          <w:rFonts w:ascii="Arial" w:cs="Arial" w:eastAsia="Arial" w:hAnsi="Arial"/>
          <w:i/>
          <w:iCs/>
          <w:color w:val="64748B"/>
          <w:sz w:val="18"/>
          <w:szCs w:val="18"/>
        </w:rPr>
        <w:t xml:space="preserve">Score = Lakive composite (0–100). EOI = Employment Opportunity Index. TAI = Tax Advantage Index (Calgary leads: no provincial PST). RPI = Rent Pressure Index (lower is better). HPI = years of median income to purchase. Data version: Aug 2026 v1.</w:t>
      </w:r>
    </w:p>
    <w:p>
      <w:pPr>
        <w:pBdr>
          <w:left w:val="single" w:color="E86C2F" w:sz="14" w:space="8"/>
        </w:pBdr>
        <w:shd w:fill="FFF7ED" w:val="clear"/>
        <w:spacing w:after="120" w:before="120"/>
      </w:pPr>
      <w:r>
        <w:rPr>
          <w:rFonts w:ascii="Arial" w:cs="Arial" w:eastAsia="Arial" w:hAnsi="Arial"/>
          <w:b/>
          <w:bCs/>
          <w:color w:val="C2410C"/>
          <w:sz w:val="19"/>
          <w:szCs w:val="19"/>
        </w:rPr>
        <w:t xml:space="preserve">Lakive Interpretation: </w:t>
      </w:r>
      <w:r>
        <w:rPr>
          <w:rFonts w:ascii="Arial" w:cs="Arial" w:eastAsia="Arial" w:hAnsi="Arial"/>
          <w:color w:val="1F2937"/>
          <w:sz w:val="19"/>
          <w:szCs w:val="19"/>
        </w:rPr>
        <w:t xml:space="preserve">Calgary's average Lakive Score of 74 — 14 points above Toronto and Vancouver — reflects the compounding advantage of no PST, lower home prices, and a labour market that has absorbed energy-sector volatility without major job losses. For skilled workers, this gap is structural, not cyclical.</w:t>
      </w:r>
    </w:p>
    <w:p>
      <w:pPr>
        <w:pBdr>
          <w:bottom w:val="single" w:color="E5E7EB" w:sz="4" w:space="1"/>
        </w:pBdr>
        <w:spacing w:after="200" w:before="200"/>
      </w:pPr>
    </w:p>
    <w:p>
      <w:pPr>
        <w:pStyle w:val="Heading1"/>
        <w:pBdr>
          <w:left w:val="single" w:color="14B8A6" w:sz="20" w:space="8"/>
        </w:pBdr>
        <w:spacing w:after="120" w:before="360"/>
      </w:pPr>
      <w:r>
        <w:rPr>
          <w:rFonts w:ascii="Arial" w:cs="Arial" w:eastAsia="Arial" w:hAnsi="Arial"/>
          <w:b/>
          <w:bCs/>
          <w:color w:val="0d1f44"/>
          <w:sz w:val="30"/>
          <w:szCs w:val="30"/>
        </w:rPr>
        <w:t xml:space="preserve">4. Employment Snapshot</w:t>
      </w:r>
    </w:p>
    <w:p>
      <w:pPr>
        <w:spacing w:after="60" w:before="60"/>
      </w:pPr>
      <w:r>
        <w:rPr>
          <w:rFonts w:ascii="Arial" w:cs="Arial" w:eastAsia="Arial" w:hAnsi="Arial"/>
          <w:i/>
          <w:iCs/>
          <w:color w:val="64748B"/>
          <w:sz w:val="18"/>
          <w:szCs w:val="18"/>
        </w:rPr>
        <w:t xml:space="preserve">Source: Statistics Canada LFS, June 2026. July 2026 data releases August 7.</w:t>
      </w:r>
    </w:p>
    <w:p>
      <w:pPr>
        <w:spacing w:after="80" w:before="80"/>
      </w:pPr>
      <w:r>
        <w:rPr>
          <w:rFonts w:ascii="Arial" w:cs="Arial" w:eastAsia="Arial" w:hAnsi="Arial"/>
          <w:color w:val="374151"/>
          <w:sz w:val="20"/>
          <w:szCs w:val="20"/>
        </w:rPr>
        <w:t xml:space="preserve">Canada's labour market added ~18,000 net jobs in June, marking a third consecutive month of positive growth. The unemployment rate fell to 6.5% — down 0.3 points from May — with youth employment improving for a second consecutive month.</w:t>
      </w:r>
    </w:p>
    <w:p>
      <w:pPr>
        <w:pStyle w:val="ListParagraph"/>
        <w:numPr>
          <w:ilvl w:val="0"/>
          <w:numId w:val="2"/>
        </w:numPr>
        <w:spacing w:after="40" w:before="40"/>
      </w:pPr>
      <w:r>
        <w:rPr>
          <w:rFonts w:ascii="Arial" w:cs="Arial" w:eastAsia="Arial" w:hAnsi="Arial"/>
          <w:color w:val="374151"/>
          <w:sz w:val="20"/>
          <w:szCs w:val="20"/>
        </w:rPr>
        <w:t xml:space="preserve">Strongest sectors: healthcare, public administration, professional services</w:t>
      </w:r>
    </w:p>
    <w:p>
      <w:pPr>
        <w:pStyle w:val="ListParagraph"/>
        <w:numPr>
          <w:ilvl w:val="0"/>
          <w:numId w:val="2"/>
        </w:numPr>
        <w:spacing w:after="40" w:before="40"/>
      </w:pPr>
      <w:r>
        <w:rPr>
          <w:rFonts w:ascii="Arial" w:cs="Arial" w:eastAsia="Arial" w:hAnsi="Arial"/>
          <w:color w:val="374151"/>
          <w:sz w:val="20"/>
          <w:szCs w:val="20"/>
        </w:rPr>
        <w:t xml:space="preserve">Weakest segment: manufacturing (-4,200), reflecting continued export softness</w:t>
      </w:r>
    </w:p>
    <w:p>
      <w:pPr>
        <w:pStyle w:val="ListParagraph"/>
        <w:numPr>
          <w:ilvl w:val="0"/>
          <w:numId w:val="2"/>
        </w:numPr>
        <w:spacing w:after="40" w:before="40"/>
      </w:pPr>
      <w:r>
        <w:rPr>
          <w:rFonts w:ascii="Arial" w:cs="Arial" w:eastAsia="Arial" w:hAnsi="Arial"/>
          <w:color w:val="374151"/>
          <w:sz w:val="20"/>
          <w:szCs w:val="20"/>
        </w:rPr>
        <w:t xml:space="preserve">Youth (15–24): unemployment declining, services and tech leading gains</w:t>
      </w:r>
    </w:p>
    <w:p>
      <w:pPr>
        <w:pStyle w:val="ListParagraph"/>
        <w:numPr>
          <w:ilvl w:val="0"/>
          <w:numId w:val="2"/>
        </w:numPr>
        <w:spacing w:after="40" w:before="40"/>
      </w:pPr>
      <w:r>
        <w:rPr>
          <w:rFonts w:ascii="Arial" w:cs="Arial" w:eastAsia="Arial" w:hAnsi="Arial"/>
          <w:color w:val="374151"/>
          <w:sz w:val="20"/>
          <w:szCs w:val="20"/>
        </w:rPr>
        <w:t xml:space="preserve">Participation rate: steady at 65.1% — no signs of discouraged-worker withdrawal</w:t>
      </w:r>
    </w:p>
    <w:p>
      <w:pPr>
        <w:pBdr>
          <w:left w:val="single" w:color="3B82F6" w:sz="14" w:space="8"/>
        </w:pBdr>
        <w:shd w:fill="EFF6FF" w:val="clear"/>
        <w:spacing w:after="120" w:before="120"/>
      </w:pPr>
      <w:r>
        <w:rPr>
          <w:rFonts w:ascii="Arial" w:cs="Arial" w:eastAsia="Arial" w:hAnsi="Arial"/>
          <w:b/>
          <w:bCs/>
          <w:color w:val="1D4ED8"/>
          <w:sz w:val="19"/>
          <w:szCs w:val="19"/>
        </w:rPr>
        <w:t xml:space="preserve">Lakive Interpretation: </w:t>
      </w:r>
      <w:r>
        <w:rPr>
          <w:rFonts w:ascii="Arial" w:cs="Arial" w:eastAsia="Arial" w:hAnsi="Arial"/>
          <w:color w:val="1F2937"/>
          <w:sz w:val="19"/>
          <w:szCs w:val="19"/>
        </w:rPr>
        <w:t xml:space="preserve">The sectors gaining jobs align directly with Lakive's highest-scoring city-occupation combinations. Healthcare hiring concentrated in Ottawa and Calgary. Tech growth in Toronto continues to outpace other cities despite national manufacturing weakness. Workers in these sectors who are geographically flexible have the most to gain from a relocation decision today.</w:t>
      </w:r>
    </w:p>
    <w:p>
      <w:pPr>
        <w:pBdr>
          <w:left w:val="single" w:color="D97706" w:sz="14" w:space="8"/>
        </w:pBdr>
        <w:shd w:fill="FFFBEB" w:val="clear"/>
        <w:spacing w:after="120" w:before="120"/>
      </w:pPr>
      <w:r>
        <w:rPr>
          <w:rFonts w:ascii="Arial" w:cs="Arial" w:eastAsia="Arial" w:hAnsi="Arial"/>
          <w:b/>
          <w:bCs/>
          <w:color w:val="D97706"/>
          <w:sz w:val="19"/>
          <w:szCs w:val="19"/>
        </w:rPr>
        <w:t xml:space="preserve">⚠  Update pending: </w:t>
      </w:r>
      <w:r>
        <w:rPr>
          <w:rFonts w:ascii="Arial" w:cs="Arial" w:eastAsia="Arial" w:hAnsi="Arial"/>
          <w:color w:val="1F2937"/>
          <w:sz w:val="19"/>
          <w:szCs w:val="19"/>
        </w:rPr>
        <w:t xml:space="preserve">July 2026 LFS data releases August 7. Lakive will update EOI scores and city job comparisons immediately upon release.</w:t>
      </w:r>
    </w:p>
    <w:p>
      <w:pPr>
        <w:pBdr>
          <w:bottom w:val="single" w:color="E5E7EB" w:sz="4" w:space="1"/>
        </w:pBdr>
        <w:spacing w:after="200" w:before="200"/>
      </w:pPr>
    </w:p>
    <w:p>
      <w:pPr>
        <w:pStyle w:val="Heading1"/>
        <w:pBdr>
          <w:left w:val="single" w:color="14B8A6" w:sz="20" w:space="8"/>
        </w:pBdr>
        <w:spacing w:after="120" w:before="360"/>
      </w:pPr>
      <w:r>
        <w:rPr>
          <w:rFonts w:ascii="Arial" w:cs="Arial" w:eastAsia="Arial" w:hAnsi="Arial"/>
          <w:b/>
          <w:bCs/>
          <w:color w:val="0d1f44"/>
          <w:sz w:val="30"/>
          <w:szCs w:val="30"/>
        </w:rPr>
        <w:t xml:space="preserve">5. Interest Rates &amp; Inflation</w:t>
      </w:r>
    </w:p>
    <w:p>
      <w:pPr>
        <w:spacing w:after="80" w:before="200"/>
      </w:pPr>
      <w:r>
        <w:rPr>
          <w:rFonts w:ascii="Arial" w:cs="Arial" w:eastAsia="Arial" w:hAnsi="Arial"/>
          <w:b/>
          <w:bCs/>
          <w:color w:val="0d1f44"/>
          <w:sz w:val="23"/>
          <w:szCs w:val="23"/>
        </w:rPr>
        <w:t xml:space="preserve">Bank of Canada — 2.25% (Held, July 15, 2026)</w:t>
      </w:r>
    </w:p>
    <w:p>
      <w:pPr>
        <w:spacing w:after="80" w:before="80"/>
      </w:pPr>
      <w:r>
        <w:rPr>
          <w:rFonts w:ascii="Arial" w:cs="Arial" w:eastAsia="Arial" w:hAnsi="Arial"/>
          <w:color w:val="374151"/>
          <w:sz w:val="20"/>
          <w:szCs w:val="20"/>
        </w:rPr>
        <w:t xml:space="preserve">The Bank held its overnight rate at 2.25% at the July meeting — the third consecutive hold after a 275-basis-point easing cycle from the 5.0% peak in 2023. The Bank signalled continued confidence that inflation will return to 2%, while leaving flexibility for a September cut if data cooperates.</w:t>
      </w:r>
    </w:p>
    <w:p>
      <w:pPr>
        <w:pBdr>
          <w:left w:val="single" w:color="14B8A6" w:sz="14" w:space="8"/>
        </w:pBdr>
        <w:shd w:fill="F0FDFA" w:val="clear"/>
        <w:spacing w:after="120" w:before="120"/>
      </w:pPr>
      <w:r>
        <w:rPr>
          <w:rFonts w:ascii="Arial" w:cs="Arial" w:eastAsia="Arial" w:hAnsi="Arial"/>
          <w:b/>
          <w:bCs/>
          <w:color w:val="0D9488"/>
          <w:sz w:val="19"/>
          <w:szCs w:val="19"/>
        </w:rPr>
        <w:t xml:space="preserve">Lakive Interpretation: </w:t>
      </w:r>
      <w:r>
        <w:rPr>
          <w:rFonts w:ascii="Arial" w:cs="Arial" w:eastAsia="Arial" w:hAnsi="Arial"/>
          <w:color w:val="1F2937"/>
          <w:sz w:val="19"/>
          <w:szCs w:val="19"/>
        </w:rPr>
        <w:t xml:space="preserve">At 2.25%, a $500K mortgage at a 5-year fixed rate costs roughly $850/month less than it did at the 2023 peak. In Calgary and Ottawa — where home prices are lower — this rate environment materially expands the set of occupations for which ownership is achievable within 5–8 years.</w:t>
      </w:r>
    </w:p>
    <w:p>
      <w:pPr>
        <w:spacing w:after="80" w:before="200"/>
      </w:pPr>
      <w:r>
        <w:rPr>
          <w:rFonts w:ascii="Arial" w:cs="Arial" w:eastAsia="Arial" w:hAnsi="Arial"/>
          <w:b/>
          <w:bCs/>
          <w:color w:val="0d1f44"/>
          <w:sz w:val="23"/>
          <w:szCs w:val="23"/>
        </w:rPr>
        <w:t xml:space="preserve">CPI Inflation — 2.8% (June 2026)</w:t>
      </w:r>
    </w:p>
    <w:p>
      <w:pPr>
        <w:spacing w:after="80" w:before="80"/>
      </w:pPr>
      <w:r>
        <w:rPr>
          <w:rFonts w:ascii="Arial" w:cs="Arial" w:eastAsia="Arial" w:hAnsi="Arial"/>
          <w:color w:val="374151"/>
          <w:sz w:val="20"/>
          <w:szCs w:val="20"/>
        </w:rPr>
        <w:t xml:space="preserve">Inflation continued its descent toward the 2% target. Shelter costs — the component most relevant to Lakive users — remain elevated on an annual basis, though the monthly pace has slowed materially. July CPI data releases August 17.</w:t>
      </w:r>
    </w:p>
    <w:p>
      <w:pPr>
        <w:pBdr>
          <w:bottom w:val="single" w:color="E5E7EB" w:sz="4" w:space="1"/>
        </w:pBdr>
        <w:spacing w:after="200" w:before="200"/>
      </w:pPr>
    </w:p>
    <w:p>
      <w:pPr>
        <w:pBdr>
          <w:left w:val="single" w:color="14B8A6" w:sz="20" w:space="0"/>
        </w:pBdr>
        <w:shd w:fill="0d1f44" w:val="clear"/>
        <w:spacing w:after="80" w:before="0"/>
      </w:pPr>
      <w:r>
        <w:rPr>
          <w:rFonts w:ascii="Arial" w:cs="Arial" w:eastAsia="Arial" w:hAnsi="Arial"/>
          <w:b/>
          <w:bCs/>
          <w:color w:val="FFFFFF"/>
          <w:sz w:val="24"/>
          <w:szCs w:val="24"/>
        </w:rPr>
        <w:t xml:space="preserve">  💡  Insight of the Month</w:t>
      </w:r>
    </w:p>
    <w:p>
      <w:pPr>
        <w:shd w:fill="0d1f44" w:val="clear"/>
        <w:spacing w:after="0" w:before="0"/>
      </w:pPr>
      <w:r>
        <w:rPr>
          <w:rFonts w:ascii="Arial" w:cs="Arial" w:eastAsia="Arial" w:hAnsi="Arial"/>
          <w:b/>
          <w:bCs/>
          <w:color w:val="14B8A6"/>
          <w:sz w:val="22"/>
          <w:szCs w:val="22"/>
        </w:rPr>
        <w:t xml:space="preserve">  The Calgary Advantage Is Compounding</w:t>
      </w:r>
    </w:p>
    <w:p>
      <w:pPr>
        <w:shd w:fill="0d1f44" w:val="clear"/>
        <w:spacing w:after="120" w:before="60"/>
      </w:pPr>
      <w:r>
        <w:rPr>
          <w:rFonts w:ascii="Arial" w:cs="Arial" w:eastAsia="Arial" w:hAnsi="Arial"/>
          <w:color w:val="CBD5E1"/>
          <w:sz w:val="20"/>
          <w:szCs w:val="20"/>
        </w:rPr>
        <w:t xml:space="preserve">  In 2022, Calgary was seen as a boom-and-bust risk. In 2026, it scores highest in Lakive's model across 7 of 10 in-demand occupations. No provincial sales tax, median home prices ~40% below Vancouver, a diversifying economy beyond oil, and a labour market absorbing in-migration without significant wage compression. Workers who relocated to Calgary in 2023–2024 are now 2–3 years ahead of where they would be on the ownership timeline in Toronto or Vancouver. The gap is structural — and it's widening.</w:t>
      </w:r>
    </w:p>
    <w:p>
      <w:pPr>
        <w:spacing w:after="0" w:before="0"/>
      </w:pPr>
    </w:p>
    <w:p>
      <w:pPr>
        <w:pBdr>
          <w:bottom w:val="single" w:color="E5E7EB" w:sz="4" w:space="1"/>
        </w:pBdr>
        <w:spacing w:after="200" w:before="200"/>
      </w:pPr>
    </w:p>
    <w:p>
      <w:pPr>
        <w:pStyle w:val="Heading1"/>
        <w:pBdr>
          <w:left w:val="single" w:color="14B8A6" w:sz="20" w:space="8"/>
        </w:pBdr>
        <w:spacing w:after="120" w:before="360"/>
      </w:pPr>
      <w:r>
        <w:rPr>
          <w:rFonts w:ascii="Arial" w:cs="Arial" w:eastAsia="Arial" w:hAnsi="Arial"/>
          <w:b/>
          <w:bCs/>
          <w:color w:val="0d1f44"/>
          <w:sz w:val="30"/>
          <w:szCs w:val="30"/>
        </w:rPr>
        <w:t xml:space="preserve">6. Lakive City Insights</w:t>
      </w:r>
    </w:p>
    <w:p>
      <w:pPr>
        <w:spacing w:after="80" w:before="80"/>
      </w:pPr>
      <w:r>
        <w:rPr>
          <w:rFonts w:ascii="Arial" w:cs="Arial" w:eastAsia="Arial" w:hAnsi="Arial"/>
          <w:color w:val="374151"/>
          <w:sz w:val="20"/>
          <w:szCs w:val="20"/>
        </w:rPr>
        <w:t xml:space="preserve">Scores below are Lakive composite ratings (0–100) based on salary, housing affordability, tax burden, employment opportunity, and quality of life. Data version: Aug 2026 v1.</w:t>
      </w:r>
    </w:p>
    <w:p>
      <w:pPr>
        <w:spacing w:after="80" w:before="160"/>
      </w:pPr>
      <w:r>
        <w:rPr>
          <w:rFonts w:ascii="Arial" w:cs="Arial" w:eastAsia="Arial" w:hAnsi="Arial"/>
          <w:b/>
          <w:bCs/>
          <w:color w:val="0d1f44"/>
          <w:sz w:val="22"/>
          <w:szCs w:val="22"/>
        </w:rPr>
        <w:t xml:space="preserve">Cross-City Score: Key Occupations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320"/>
        <w:gridCol w:w="1080"/>
        <w:gridCol w:w="1320"/>
        <w:gridCol w:w="1080"/>
        <w:gridCol w:w="960"/>
        <w:gridCol w:w="2160"/>
      </w:tblGrid>
      <w:tr>
        <w:trPr>
          <w:tblHeader/>
        </w:trPr>
        <w:tc>
          <w:tcPr>
            <w:tcW w:type="dxa" w:w="144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left"/>
            </w:pPr>
            <w:r>
              <w:rPr>
                <w:rFonts w:ascii="Arial" w:cs="Arial" w:eastAsia="Arial" w:hAnsi="Arial"/>
                <w:b/>
                <w:bCs/>
                <w:i w:val="false"/>
                <w:iCs w:val="false"/>
                <w:color w:val="FFFFFF"/>
                <w:sz w:val="20"/>
                <w:szCs w:val="20"/>
              </w:rPr>
              <w:t xml:space="preserve">Occupation</w:t>
            </w:r>
          </w:p>
        </w:tc>
        <w:tc>
          <w:tcPr>
            <w:tcW w:type="dxa" w:w="132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left"/>
            </w:pPr>
            <w:r>
              <w:rPr>
                <w:rFonts w:ascii="Arial" w:cs="Arial" w:eastAsia="Arial" w:hAnsi="Arial"/>
                <w:b/>
                <w:bCs/>
                <w:i w:val="false"/>
                <w:iCs w:val="false"/>
                <w:color w:val="FFFFFF"/>
                <w:sz w:val="20"/>
                <w:szCs w:val="20"/>
              </w:rPr>
              <w:t xml:space="preserve">City</w:t>
            </w:r>
          </w:p>
        </w:tc>
        <w:tc>
          <w:tcPr>
            <w:tcW w:type="dxa" w:w="108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20"/>
                <w:szCs w:val="20"/>
              </w:rPr>
              <w:t xml:space="preserve">Score</w:t>
            </w:r>
          </w:p>
        </w:tc>
        <w:tc>
          <w:tcPr>
            <w:tcW w:type="dxa" w:w="132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20"/>
                <w:szCs w:val="20"/>
              </w:rPr>
              <w:t xml:space="preserve">HPI (yrs)</w:t>
            </w:r>
          </w:p>
        </w:tc>
        <w:tc>
          <w:tcPr>
            <w:tcW w:type="dxa" w:w="108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20"/>
                <w:szCs w:val="20"/>
              </w:rPr>
              <w:t xml:space="preserve">RPI</w:t>
            </w:r>
          </w:p>
        </w:tc>
        <w:tc>
          <w:tcPr>
            <w:tcW w:type="dxa" w:w="96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20"/>
                <w:szCs w:val="20"/>
              </w:rPr>
              <w:t xml:space="preserve">EOI</w:t>
            </w:r>
          </w:p>
        </w:tc>
        <w:tc>
          <w:tcPr>
            <w:tcW w:type="dxa" w:w="216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left"/>
            </w:pPr>
            <w:r>
              <w:rPr>
                <w:rFonts w:ascii="Arial" w:cs="Arial" w:eastAsia="Arial" w:hAnsi="Arial"/>
                <w:b/>
                <w:bCs/>
                <w:i w:val="false"/>
                <w:iCs w:val="false"/>
                <w:color w:val="FFFFFF"/>
                <w:sz w:val="20"/>
                <w:szCs w:val="20"/>
              </w:rPr>
              <w:t xml:space="preserve">Lakive Insight</w:t>
            </w:r>
          </w:p>
        </w:tc>
      </w:tr>
      <w:tr>
        <w:tc>
          <w:tcPr>
            <w:tcW w:type="dxa" w:w="144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bCs/>
                <w:i w:val="false"/>
                <w:iCs w:val="false"/>
                <w:color w:val="0d1f44"/>
                <w:sz w:val="20"/>
                <w:szCs w:val="20"/>
              </w:rPr>
              <w:t xml:space="preserve">Nurse</w:t>
            </w:r>
          </w:p>
        </w:tc>
        <w:tc>
          <w:tcPr>
            <w:tcW w:type="dxa" w:w="132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Calgary</w:t>
            </w:r>
          </w:p>
        </w:tc>
        <w:tc>
          <w:tcPr>
            <w:tcW w:type="dxa" w:w="108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bCs/>
                <w:i w:val="false"/>
                <w:iCs w:val="false"/>
                <w:color w:val="059669"/>
                <w:sz w:val="20"/>
                <w:szCs w:val="20"/>
              </w:rPr>
              <w:t xml:space="preserve">86</w:t>
            </w:r>
          </w:p>
        </w:tc>
        <w:tc>
          <w:tcPr>
            <w:tcW w:type="dxa" w:w="132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111827"/>
                <w:sz w:val="20"/>
                <w:szCs w:val="20"/>
              </w:rPr>
              <w:t xml:space="preserve">4.5</w:t>
            </w:r>
          </w:p>
        </w:tc>
        <w:tc>
          <w:tcPr>
            <w:tcW w:type="dxa" w:w="108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59669"/>
                <w:sz w:val="20"/>
                <w:szCs w:val="20"/>
              </w:rPr>
              <w:t xml:space="preserve">25</w:t>
            </w:r>
          </w:p>
        </w:tc>
        <w:tc>
          <w:tcPr>
            <w:tcW w:type="dxa" w:w="96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59669"/>
                <w:sz w:val="20"/>
                <w:szCs w:val="20"/>
              </w:rPr>
              <w:t xml:space="preserve">High</w:t>
            </w:r>
          </w:p>
        </w:tc>
        <w:tc>
          <w:tcPr>
            <w:tcW w:type="dxa" w:w="216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64748B"/>
                <w:sz w:val="17"/>
                <w:szCs w:val="17"/>
              </w:rPr>
              <w:t xml:space="preserve">Best nurse city in Canada by Lakive score</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d1f44"/>
                <w:sz w:val="20"/>
                <w:szCs w:val="20"/>
              </w:rPr>
              <w:t xml:space="preserve">Nurse</w:t>
            </w:r>
          </w:p>
        </w:tc>
        <w:tc>
          <w:tcPr>
            <w:tcW w:type="dxa" w:w="13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Ottawa</w:t>
            </w:r>
          </w:p>
        </w:tc>
        <w:tc>
          <w:tcPr>
            <w:tcW w:type="dxa" w:w="10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D97706"/>
                <w:sz w:val="20"/>
                <w:szCs w:val="20"/>
              </w:rPr>
              <w:t xml:space="preserve">82</w:t>
            </w:r>
          </w:p>
        </w:tc>
        <w:tc>
          <w:tcPr>
            <w:tcW w:type="dxa" w:w="13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111827"/>
                <w:sz w:val="20"/>
                <w:szCs w:val="20"/>
              </w:rPr>
              <w:t xml:space="preserve">6.5</w:t>
            </w:r>
          </w:p>
        </w:tc>
        <w:tc>
          <w:tcPr>
            <w:tcW w:type="dxa" w:w="10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D97706"/>
                <w:sz w:val="20"/>
                <w:szCs w:val="20"/>
              </w:rPr>
              <w:t xml:space="preserve">27</w:t>
            </w:r>
          </w:p>
        </w:tc>
        <w:tc>
          <w:tcPr>
            <w:tcW w:type="dxa" w:w="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59669"/>
                <w:sz w:val="20"/>
                <w:szCs w:val="20"/>
              </w:rPr>
              <w:t xml:space="preserve">High</w:t>
            </w:r>
          </w:p>
        </w:tc>
        <w:tc>
          <w:tcPr>
            <w:tcW w:type="dxa" w:w="21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64748B"/>
                <w:sz w:val="17"/>
                <w:szCs w:val="17"/>
              </w:rPr>
              <w:t xml:space="preserve">Federal healthcare · stable employment</w:t>
            </w:r>
          </w:p>
        </w:tc>
      </w:tr>
      <w:tr>
        <w:tc>
          <w:tcPr>
            <w:tcW w:type="dxa" w:w="144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bCs/>
                <w:i w:val="false"/>
                <w:iCs w:val="false"/>
                <w:color w:val="0d1f44"/>
                <w:sz w:val="20"/>
                <w:szCs w:val="20"/>
              </w:rPr>
              <w:t xml:space="preserve">Nurse</w:t>
            </w:r>
          </w:p>
        </w:tc>
        <w:tc>
          <w:tcPr>
            <w:tcW w:type="dxa" w:w="132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Toronto</w:t>
            </w:r>
          </w:p>
        </w:tc>
        <w:tc>
          <w:tcPr>
            <w:tcW w:type="dxa" w:w="108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bCs/>
                <w:i w:val="false"/>
                <w:iCs w:val="false"/>
                <w:color w:val="D97706"/>
                <w:sz w:val="20"/>
                <w:szCs w:val="20"/>
              </w:rPr>
              <w:t xml:space="preserve">72</w:t>
            </w:r>
          </w:p>
        </w:tc>
        <w:tc>
          <w:tcPr>
            <w:tcW w:type="dxa" w:w="132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111827"/>
                <w:sz w:val="20"/>
                <w:szCs w:val="20"/>
              </w:rPr>
              <w:t xml:space="preserve">12.0</w:t>
            </w:r>
          </w:p>
        </w:tc>
        <w:tc>
          <w:tcPr>
            <w:tcW w:type="dxa" w:w="108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DC2626"/>
                <w:sz w:val="20"/>
                <w:szCs w:val="20"/>
              </w:rPr>
              <w:t xml:space="preserve">41</w:t>
            </w:r>
          </w:p>
        </w:tc>
        <w:tc>
          <w:tcPr>
            <w:tcW w:type="dxa" w:w="96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59669"/>
                <w:sz w:val="20"/>
                <w:szCs w:val="20"/>
              </w:rPr>
              <w:t xml:space="preserve">High</w:t>
            </w:r>
          </w:p>
        </w:tc>
        <w:tc>
          <w:tcPr>
            <w:tcW w:type="dxa" w:w="216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64748B"/>
                <w:sz w:val="17"/>
                <w:szCs w:val="17"/>
              </w:rPr>
              <w:t xml:space="preserve">High EOI but housing pressure is significant</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d1f44"/>
                <w:sz w:val="20"/>
                <w:szCs w:val="20"/>
              </w:rPr>
              <w:t xml:space="preserve">Electrician</w:t>
            </w:r>
          </w:p>
        </w:tc>
        <w:tc>
          <w:tcPr>
            <w:tcW w:type="dxa" w:w="13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Calgary</w:t>
            </w:r>
          </w:p>
        </w:tc>
        <w:tc>
          <w:tcPr>
            <w:tcW w:type="dxa" w:w="10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059669"/>
                <w:sz w:val="20"/>
                <w:szCs w:val="20"/>
              </w:rPr>
              <w:t xml:space="preserve">91</w:t>
            </w:r>
          </w:p>
        </w:tc>
        <w:tc>
          <w:tcPr>
            <w:tcW w:type="dxa" w:w="13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111827"/>
                <w:sz w:val="20"/>
                <w:szCs w:val="20"/>
              </w:rPr>
              <w:t xml:space="preserve">3.9</w:t>
            </w:r>
          </w:p>
        </w:tc>
        <w:tc>
          <w:tcPr>
            <w:tcW w:type="dxa" w:w="10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59669"/>
                <w:sz w:val="20"/>
                <w:szCs w:val="20"/>
              </w:rPr>
              <w:t xml:space="preserve">24</w:t>
            </w:r>
          </w:p>
        </w:tc>
        <w:tc>
          <w:tcPr>
            <w:tcW w:type="dxa" w:w="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59669"/>
                <w:sz w:val="20"/>
                <w:szCs w:val="20"/>
              </w:rPr>
              <w:t xml:space="preserve">High</w:t>
            </w:r>
          </w:p>
        </w:tc>
        <w:tc>
          <w:tcPr>
            <w:tcW w:type="dxa" w:w="21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64748B"/>
                <w:sz w:val="17"/>
                <w:szCs w:val="17"/>
              </w:rPr>
              <w:t xml:space="preserve">#1 trades city · home ownership in &lt;4 yrs</w:t>
            </w:r>
          </w:p>
        </w:tc>
      </w:tr>
      <w:tr>
        <w:tc>
          <w:tcPr>
            <w:tcW w:type="dxa" w:w="144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bCs/>
                <w:i w:val="false"/>
                <w:iCs w:val="false"/>
                <w:color w:val="0d1f44"/>
                <w:sz w:val="20"/>
                <w:szCs w:val="20"/>
              </w:rPr>
              <w:t xml:space="preserve">Electrician</w:t>
            </w:r>
          </w:p>
        </w:tc>
        <w:tc>
          <w:tcPr>
            <w:tcW w:type="dxa" w:w="132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Ottawa</w:t>
            </w:r>
          </w:p>
        </w:tc>
        <w:tc>
          <w:tcPr>
            <w:tcW w:type="dxa" w:w="108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bCs/>
                <w:i w:val="false"/>
                <w:iCs w:val="false"/>
                <w:color w:val="D97706"/>
                <w:sz w:val="20"/>
                <w:szCs w:val="20"/>
              </w:rPr>
              <w:t xml:space="preserve">74</w:t>
            </w:r>
          </w:p>
        </w:tc>
        <w:tc>
          <w:tcPr>
            <w:tcW w:type="dxa" w:w="132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111827"/>
                <w:sz w:val="20"/>
                <w:szCs w:val="20"/>
              </w:rPr>
              <w:t xml:space="preserve">6.8</w:t>
            </w:r>
          </w:p>
        </w:tc>
        <w:tc>
          <w:tcPr>
            <w:tcW w:type="dxa" w:w="108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D97706"/>
                <w:sz w:val="20"/>
                <w:szCs w:val="20"/>
              </w:rPr>
              <w:t xml:space="preserve">28</w:t>
            </w:r>
          </w:p>
        </w:tc>
        <w:tc>
          <w:tcPr>
            <w:tcW w:type="dxa" w:w="96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D97706"/>
                <w:sz w:val="20"/>
                <w:szCs w:val="20"/>
              </w:rPr>
              <w:t xml:space="preserve">Mid</w:t>
            </w:r>
          </w:p>
        </w:tc>
        <w:tc>
          <w:tcPr>
            <w:tcW w:type="dxa" w:w="216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64748B"/>
                <w:sz w:val="17"/>
                <w:szCs w:val="17"/>
              </w:rPr>
              <w:t xml:space="preserve">Solid choice · manageable housing cost</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d1f44"/>
                <w:sz w:val="20"/>
                <w:szCs w:val="20"/>
              </w:rPr>
              <w:t xml:space="preserve">Software Eng.</w:t>
            </w:r>
          </w:p>
        </w:tc>
        <w:tc>
          <w:tcPr>
            <w:tcW w:type="dxa" w:w="13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Toronto</w:t>
            </w:r>
          </w:p>
        </w:tc>
        <w:tc>
          <w:tcPr>
            <w:tcW w:type="dxa" w:w="10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059669"/>
                <w:sz w:val="20"/>
                <w:szCs w:val="20"/>
              </w:rPr>
              <w:t xml:space="preserve">88</w:t>
            </w:r>
          </w:p>
        </w:tc>
        <w:tc>
          <w:tcPr>
            <w:tcW w:type="dxa" w:w="13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111827"/>
                <w:sz w:val="20"/>
                <w:szCs w:val="20"/>
              </w:rPr>
              <w:t xml:space="preserve">9.2</w:t>
            </w:r>
          </w:p>
        </w:tc>
        <w:tc>
          <w:tcPr>
            <w:tcW w:type="dxa" w:w="10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D97706"/>
                <w:sz w:val="20"/>
                <w:szCs w:val="20"/>
              </w:rPr>
              <w:t xml:space="preserve">34</w:t>
            </w:r>
          </w:p>
        </w:tc>
        <w:tc>
          <w:tcPr>
            <w:tcW w:type="dxa" w:w="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59669"/>
                <w:sz w:val="20"/>
                <w:szCs w:val="20"/>
              </w:rPr>
              <w:t xml:space="preserve">High</w:t>
            </w:r>
          </w:p>
        </w:tc>
        <w:tc>
          <w:tcPr>
            <w:tcW w:type="dxa" w:w="21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64748B"/>
                <w:sz w:val="17"/>
                <w:szCs w:val="17"/>
              </w:rPr>
              <w:t xml:space="preserve">Highest tech EOI · 9 yrs to ownership</w:t>
            </w:r>
          </w:p>
        </w:tc>
      </w:tr>
      <w:tr>
        <w:tc>
          <w:tcPr>
            <w:tcW w:type="dxa" w:w="144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bCs/>
                <w:i w:val="false"/>
                <w:iCs w:val="false"/>
                <w:color w:val="0d1f44"/>
                <w:sz w:val="20"/>
                <w:szCs w:val="20"/>
              </w:rPr>
              <w:t xml:space="preserve">Software Eng.</w:t>
            </w:r>
          </w:p>
        </w:tc>
        <w:tc>
          <w:tcPr>
            <w:tcW w:type="dxa" w:w="132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Vancouver</w:t>
            </w:r>
          </w:p>
        </w:tc>
        <w:tc>
          <w:tcPr>
            <w:tcW w:type="dxa" w:w="108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bCs/>
                <w:i w:val="false"/>
                <w:iCs w:val="false"/>
                <w:color w:val="D97706"/>
                <w:sz w:val="20"/>
                <w:szCs w:val="20"/>
              </w:rPr>
              <w:t xml:space="preserve">84</w:t>
            </w:r>
          </w:p>
        </w:tc>
        <w:tc>
          <w:tcPr>
            <w:tcW w:type="dxa" w:w="132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111827"/>
                <w:sz w:val="20"/>
                <w:szCs w:val="20"/>
              </w:rPr>
              <w:t xml:space="preserve">9.5</w:t>
            </w:r>
          </w:p>
        </w:tc>
        <w:tc>
          <w:tcPr>
            <w:tcW w:type="dxa" w:w="108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D97706"/>
                <w:sz w:val="20"/>
                <w:szCs w:val="20"/>
              </w:rPr>
              <w:t xml:space="preserve">36</w:t>
            </w:r>
          </w:p>
        </w:tc>
        <w:tc>
          <w:tcPr>
            <w:tcW w:type="dxa" w:w="96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59669"/>
                <w:sz w:val="20"/>
                <w:szCs w:val="20"/>
              </w:rPr>
              <w:t xml:space="preserve">High</w:t>
            </w:r>
          </w:p>
        </w:tc>
        <w:tc>
          <w:tcPr>
            <w:tcW w:type="dxa" w:w="216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64748B"/>
                <w:sz w:val="17"/>
                <w:szCs w:val="17"/>
              </w:rPr>
              <w:t xml:space="preserve">Strong ecosystem · similar pressure to TO</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d1f44"/>
                <w:sz w:val="20"/>
                <w:szCs w:val="20"/>
              </w:rPr>
              <w:t xml:space="preserve">Doctor</w:t>
            </w:r>
          </w:p>
        </w:tc>
        <w:tc>
          <w:tcPr>
            <w:tcW w:type="dxa" w:w="13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Calgary</w:t>
            </w:r>
          </w:p>
        </w:tc>
        <w:tc>
          <w:tcPr>
            <w:tcW w:type="dxa" w:w="10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059669"/>
                <w:sz w:val="20"/>
                <w:szCs w:val="20"/>
              </w:rPr>
              <w:t xml:space="preserve">92</w:t>
            </w:r>
          </w:p>
        </w:tc>
        <w:tc>
          <w:tcPr>
            <w:tcW w:type="dxa" w:w="13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111827"/>
                <w:sz w:val="20"/>
                <w:szCs w:val="20"/>
              </w:rPr>
              <w:t xml:space="preserve">2.5</w:t>
            </w:r>
          </w:p>
        </w:tc>
        <w:tc>
          <w:tcPr>
            <w:tcW w:type="dxa" w:w="10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59669"/>
                <w:sz w:val="20"/>
                <w:szCs w:val="20"/>
              </w:rPr>
              <w:t xml:space="preserve">11</w:t>
            </w:r>
          </w:p>
        </w:tc>
        <w:tc>
          <w:tcPr>
            <w:tcW w:type="dxa" w:w="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59669"/>
                <w:sz w:val="20"/>
                <w:szCs w:val="20"/>
              </w:rPr>
              <w:t xml:space="preserve">High</w:t>
            </w:r>
          </w:p>
        </w:tc>
        <w:tc>
          <w:tcPr>
            <w:tcW w:type="dxa" w:w="21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64748B"/>
                <w:sz w:val="17"/>
                <w:szCs w:val="17"/>
              </w:rPr>
              <w:t xml:space="preserve">Top score nationally · ownership in 2.5 yrs</w:t>
            </w:r>
          </w:p>
        </w:tc>
      </w:tr>
      <w:tr>
        <w:tc>
          <w:tcPr>
            <w:tcW w:type="dxa" w:w="144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bCs/>
                <w:i w:val="false"/>
                <w:iCs w:val="false"/>
                <w:color w:val="0d1f44"/>
                <w:sz w:val="20"/>
                <w:szCs w:val="20"/>
              </w:rPr>
              <w:t xml:space="preserve">Doctor</w:t>
            </w:r>
          </w:p>
        </w:tc>
        <w:tc>
          <w:tcPr>
            <w:tcW w:type="dxa" w:w="132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Ottawa</w:t>
            </w:r>
          </w:p>
        </w:tc>
        <w:tc>
          <w:tcPr>
            <w:tcW w:type="dxa" w:w="108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bCs/>
                <w:i w:val="false"/>
                <w:iCs w:val="false"/>
                <w:color w:val="059669"/>
                <w:sz w:val="20"/>
                <w:szCs w:val="20"/>
              </w:rPr>
              <w:t xml:space="preserve">88</w:t>
            </w:r>
          </w:p>
        </w:tc>
        <w:tc>
          <w:tcPr>
            <w:tcW w:type="dxa" w:w="132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111827"/>
                <w:sz w:val="20"/>
                <w:szCs w:val="20"/>
              </w:rPr>
              <w:t xml:space="preserve">3.0</w:t>
            </w:r>
          </w:p>
        </w:tc>
        <w:tc>
          <w:tcPr>
            <w:tcW w:type="dxa" w:w="108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59669"/>
                <w:sz w:val="20"/>
                <w:szCs w:val="20"/>
              </w:rPr>
              <w:t xml:space="preserve">11</w:t>
            </w:r>
          </w:p>
        </w:tc>
        <w:tc>
          <w:tcPr>
            <w:tcW w:type="dxa" w:w="96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59669"/>
                <w:sz w:val="20"/>
                <w:szCs w:val="20"/>
              </w:rPr>
              <w:t xml:space="preserve">High</w:t>
            </w:r>
          </w:p>
        </w:tc>
        <w:tc>
          <w:tcPr>
            <w:tcW w:type="dxa" w:w="216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64748B"/>
                <w:sz w:val="17"/>
                <w:szCs w:val="17"/>
              </w:rPr>
              <w:t xml:space="preserve">Close second · federal health networks</w:t>
            </w:r>
          </w:p>
        </w:tc>
      </w:tr>
    </w:tbl>
    <w:p>
      <w:pPr>
        <w:spacing w:after="40" w:before="80"/>
      </w:pPr>
    </w:p>
    <w:p>
      <w:pPr>
        <w:spacing w:after="60" w:before="60"/>
      </w:pPr>
      <w:r>
        <w:rPr>
          <w:rFonts w:ascii="Arial" w:cs="Arial" w:eastAsia="Arial" w:hAnsi="Arial"/>
          <w:i/>
          <w:iCs/>
          <w:color w:val="64748B"/>
          <w:sz w:val="18"/>
          <w:szCs w:val="18"/>
        </w:rPr>
        <w:t xml:space="preserve">HPI = Housing Years Index (years of after-tax income to 20% down payment). RPI = Rent Pressure Index. EOI = Employment Opportunity Index. Full rankings at lakive.com/ranking</w:t>
      </w:r>
    </w:p>
    <w:p>
      <w:pPr>
        <w:spacing w:after="80" w:before="160"/>
      </w:pPr>
      <w:r>
        <w:rPr>
          <w:rFonts w:ascii="Arial" w:cs="Arial" w:eastAsia="Arial" w:hAnsi="Arial"/>
          <w:b/>
          <w:bCs/>
          <w:color w:val="0d1f44"/>
          <w:sz w:val="22"/>
          <w:szCs w:val="22"/>
        </w:rPr>
        <w:t xml:space="preserve">City Narratives</w:t>
      </w:r>
    </w:p>
    <w:p>
      <w:pPr>
        <w:spacing w:after="80" w:before="200"/>
      </w:pPr>
      <w:r>
        <w:rPr>
          <w:rFonts w:ascii="Arial" w:cs="Arial" w:eastAsia="Arial" w:hAnsi="Arial"/>
          <w:b/>
          <w:bCs/>
          <w:color w:val="0d1f44"/>
          <w:sz w:val="23"/>
          <w:szCs w:val="23"/>
        </w:rPr>
        <w:t xml:space="preserve">Calgary — Avg Score 74 · RPI 34</w:t>
      </w:r>
    </w:p>
    <w:p>
      <w:pPr>
        <w:spacing w:after="80" w:before="80"/>
      </w:pPr>
      <w:r>
        <w:rPr>
          <w:rFonts w:ascii="Arial" w:cs="Arial" w:eastAsia="Arial" w:hAnsi="Arial"/>
          <w:color w:val="374151"/>
          <w:sz w:val="20"/>
          <w:szCs w:val="20"/>
        </w:rPr>
        <w:t xml:space="preserve">Calgary remains the top-scoring city in Lakive's model for the 4th consecutive data version. The no-PST advantage (TAI: 90) compounds over time — a nurse earning $95,000 takes home roughly $4,200 more annually in Calgary than an equivalent earner in Ontario. Combined with an HPI of 4.5 years for nurses, Calgary offers the fastest path to ownership of any major Canadian city.</w:t>
      </w:r>
    </w:p>
    <w:p>
      <w:pPr>
        <w:spacing w:after="80" w:before="200"/>
      </w:pPr>
      <w:r>
        <w:rPr>
          <w:rFonts w:ascii="Arial" w:cs="Arial" w:eastAsia="Arial" w:hAnsi="Arial"/>
          <w:b/>
          <w:bCs/>
          <w:color w:val="0d1f44"/>
          <w:sz w:val="23"/>
          <w:szCs w:val="23"/>
        </w:rPr>
        <w:t xml:space="preserve">Ottawa — Avg Score 68 · RPI 37</w:t>
      </w:r>
    </w:p>
    <w:p>
      <w:pPr>
        <w:spacing w:after="80" w:before="80"/>
      </w:pPr>
      <w:r>
        <w:rPr>
          <w:rFonts w:ascii="Arial" w:cs="Arial" w:eastAsia="Arial" w:hAnsi="Arial"/>
          <w:color w:val="374151"/>
          <w:sz w:val="20"/>
          <w:szCs w:val="20"/>
        </w:rPr>
        <w:t xml:space="preserve">Ottawa scores second nationally, with the highest Public Sector Stability Index (PSI: 82) of any covered city. Federal healthcare and technology employment is concentrated and recession-resistant. Housing Years Index for nurses (6.5 yrs) and software engineers (6.2 yrs) sits well below national averages. The best under-the-radar option for workers who want Toronto-level opportunity without Toronto-level pressure.</w:t>
      </w:r>
    </w:p>
    <w:p>
      <w:pPr>
        <w:spacing w:after="80" w:before="200"/>
      </w:pPr>
      <w:r>
        <w:rPr>
          <w:rFonts w:ascii="Arial" w:cs="Arial" w:eastAsia="Arial" w:hAnsi="Arial"/>
          <w:b/>
          <w:bCs/>
          <w:color w:val="0d1f44"/>
          <w:sz w:val="23"/>
          <w:szCs w:val="23"/>
        </w:rPr>
        <w:t xml:space="preserve">Toronto — Avg Score 60 · RPI 49</w:t>
      </w:r>
    </w:p>
    <w:p>
      <w:pPr>
        <w:spacing w:after="80" w:before="80"/>
      </w:pPr>
      <w:r>
        <w:rPr>
          <w:rFonts w:ascii="Arial" w:cs="Arial" w:eastAsia="Arial" w:hAnsi="Arial"/>
          <w:color w:val="374151"/>
          <w:sz w:val="20"/>
          <w:szCs w:val="20"/>
        </w:rPr>
        <w:t xml:space="preserve">Toronto carries the highest Employment Opportunity Index (EOI: 92) of any Lakive city — driven by concentration in finance, technology, and professional services. The trade-off is a Rent Pressure Index of 49 and HPI ranging from 9–13 years for most professional occupations. Software engineers score 88/100, the best tech score in Canada, but the housing math is unforgiving for median earners.</w:t>
      </w:r>
    </w:p>
    <w:p>
      <w:pPr>
        <w:spacing w:after="80" w:before="200"/>
      </w:pPr>
      <w:r>
        <w:rPr>
          <w:rFonts w:ascii="Arial" w:cs="Arial" w:eastAsia="Arial" w:hAnsi="Arial"/>
          <w:b/>
          <w:bCs/>
          <w:color w:val="0d1f44"/>
          <w:sz w:val="23"/>
          <w:szCs w:val="23"/>
        </w:rPr>
        <w:t xml:space="preserve">Vancouver — Avg Score 59 · RPI 52</w:t>
      </w:r>
    </w:p>
    <w:p>
      <w:pPr>
        <w:spacing w:after="80" w:before="80"/>
      </w:pPr>
      <w:r>
        <w:rPr>
          <w:rFonts w:ascii="Arial" w:cs="Arial" w:eastAsia="Arial" w:hAnsi="Arial"/>
          <w:color w:val="374151"/>
          <w:sz w:val="20"/>
          <w:szCs w:val="20"/>
        </w:rPr>
        <w:t xml:space="preserve">Vancouver holds the highest Environmental Quality Index (EQI: 90) but the weakest affordability metrics. The RPI of 52 is the highest of any covered city — a worker earning $80,000 faces greater rent burden in Vancouver than anywhere else Lakive tracks. Ownership timelines for trades and healthcare workers (12–13 years) price out most non-specialist earners. Best suited to high-income tech and healthcare workers who can absorb the cost premium.</w:t>
      </w:r>
    </w:p>
    <w:p>
      <w:pPr>
        <w:spacing w:after="80" w:before="200"/>
      </w:pPr>
      <w:r>
        <w:rPr>
          <w:rFonts w:ascii="Arial" w:cs="Arial" w:eastAsia="Arial" w:hAnsi="Arial"/>
          <w:b/>
          <w:bCs/>
          <w:color w:val="0d1f44"/>
          <w:sz w:val="23"/>
          <w:szCs w:val="23"/>
        </w:rPr>
        <w:t xml:space="preserve">Montréal — Avg Score 60 · RPI 34</w:t>
      </w:r>
    </w:p>
    <w:p>
      <w:pPr>
        <w:spacing w:after="80" w:before="80"/>
      </w:pPr>
      <w:r>
        <w:rPr>
          <w:rFonts w:ascii="Arial" w:cs="Arial" w:eastAsia="Arial" w:hAnsi="Arial"/>
          <w:color w:val="374151"/>
          <w:sz w:val="20"/>
          <w:szCs w:val="20"/>
        </w:rPr>
        <w:t xml:space="preserve">Montréal ties Toronto on average score (60) but via a different profile: low RPI (34, tied with Calgary), lower home prices (HPI 2.6–6.8 yrs for most occupations), but a significantly lower TAI (42) due to combined GST+QST. For French-speaking professionals, the city offers the strongest affordability package of any major Canadian market. EOI (72) lags Toronto and Vancouver, making it better suited to workers prioritizing lifestyle over career-market depth.</w:t>
      </w:r>
    </w:p>
    <w:p>
      <w:pPr>
        <w:pBdr>
          <w:bottom w:val="single" w:color="E5E7EB" w:sz="4" w:space="1"/>
        </w:pBdr>
        <w:spacing w:after="200" w:before="200"/>
      </w:pPr>
    </w:p>
    <w:p>
      <w:pPr>
        <w:pStyle w:val="Heading1"/>
        <w:pBdr>
          <w:left w:val="single" w:color="14B8A6" w:sz="20" w:space="8"/>
        </w:pBdr>
        <w:spacing w:after="120" w:before="360"/>
      </w:pPr>
      <w:r>
        <w:rPr>
          <w:rFonts w:ascii="Arial" w:cs="Arial" w:eastAsia="Arial" w:hAnsi="Arial"/>
          <w:b/>
          <w:bCs/>
          <w:color w:val="0d1f44"/>
          <w:sz w:val="30"/>
          <w:szCs w:val="30"/>
        </w:rPr>
        <w:t xml:space="preserve">7. Looking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rPr>
          <w:tblHeader/>
        </w:trPr>
        <w:tc>
          <w:tcPr>
            <w:tcW w:type="dxa" w:w="216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left"/>
            </w:pPr>
            <w:r>
              <w:rPr>
                <w:rFonts w:ascii="Arial" w:cs="Arial" w:eastAsia="Arial" w:hAnsi="Arial"/>
                <w:b/>
                <w:bCs/>
                <w:i w:val="false"/>
                <w:iCs w:val="false"/>
                <w:color w:val="FFFFFF"/>
                <w:sz w:val="20"/>
                <w:szCs w:val="20"/>
              </w:rPr>
              <w:t xml:space="preserve">Date</w:t>
            </w:r>
          </w:p>
        </w:tc>
        <w:tc>
          <w:tcPr>
            <w:tcW w:type="dxa" w:w="240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left"/>
            </w:pPr>
            <w:r>
              <w:rPr>
                <w:rFonts w:ascii="Arial" w:cs="Arial" w:eastAsia="Arial" w:hAnsi="Arial"/>
                <w:b/>
                <w:bCs/>
                <w:i w:val="false"/>
                <w:iCs w:val="false"/>
                <w:color w:val="FFFFFF"/>
                <w:sz w:val="20"/>
                <w:szCs w:val="20"/>
              </w:rPr>
              <w:t xml:space="preserve">Release</w:t>
            </w:r>
          </w:p>
        </w:tc>
        <w:tc>
          <w:tcPr>
            <w:tcW w:type="dxa" w:w="480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left"/>
            </w:pPr>
            <w:r>
              <w:rPr>
                <w:rFonts w:ascii="Arial" w:cs="Arial" w:eastAsia="Arial" w:hAnsi="Arial"/>
                <w:b/>
                <w:bCs/>
                <w:i w:val="false"/>
                <w:iCs w:val="false"/>
                <w:color w:val="FFFFFF"/>
                <w:sz w:val="20"/>
                <w:szCs w:val="20"/>
              </w:rPr>
              <w:t xml:space="preserve">What Lakive Will Update</w:t>
            </w:r>
          </w:p>
        </w:tc>
      </w:tr>
      <w:tr>
        <w:tc>
          <w:tcPr>
            <w:tcW w:type="dxa" w:w="216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vAlign w:val="center"/>
          </w:tcPr>
          <w:p>
            <w:pPr>
              <w:jc w:val="left"/>
            </w:pPr>
            <w:r>
              <w:rPr>
                <w:rFonts w:ascii="Arial" w:cs="Arial" w:eastAsia="Arial" w:hAnsi="Arial"/>
                <w:b/>
                <w:bCs/>
                <w:i w:val="false"/>
                <w:iCs w:val="false"/>
                <w:color w:val="DC2626"/>
                <w:sz w:val="20"/>
                <w:szCs w:val="20"/>
              </w:rPr>
              <w:t xml:space="preserve">August 7</w:t>
            </w:r>
          </w:p>
        </w:tc>
        <w:tc>
          <w:tcPr>
            <w:tcW w:type="dxa" w:w="240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Statistics Canada LFS — July employment</w:t>
            </w:r>
          </w:p>
        </w:tc>
        <w:tc>
          <w:tcPr>
            <w:tcW w:type="dxa" w:w="480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EOI scores · city job comparisons · salary trends · this report</w:t>
            </w:r>
          </w:p>
        </w:tc>
      </w:tr>
      <w:tr>
        <w:tc>
          <w:tcPr>
            <w:tcW w:type="dxa" w:w="216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bCs/>
                <w:i w:val="false"/>
                <w:iCs w:val="false"/>
                <w:color w:val="D97706"/>
                <w:sz w:val="20"/>
                <w:szCs w:val="20"/>
              </w:rPr>
              <w:t xml:space="preserve">August 15–18</w:t>
            </w:r>
          </w:p>
        </w:tc>
        <w:tc>
          <w:tcPr>
            <w:tcW w:type="dxa" w:w="240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CREA July home prices</w:t>
            </w:r>
          </w:p>
        </w:tc>
        <w:tc>
          <w:tcPr>
            <w:tcW w:type="dxa" w:w="480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HPI (Housing Years Index) · city ranking · compare · housing guide</w:t>
            </w:r>
          </w:p>
        </w:tc>
      </w:tr>
      <w:tr>
        <w:tc>
          <w:tcPr>
            <w:tcW w:type="dxa" w:w="216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vAlign w:val="center"/>
          </w:tcPr>
          <w:p>
            <w:pPr>
              <w:jc w:val="left"/>
            </w:pPr>
            <w:r>
              <w:rPr>
                <w:rFonts w:ascii="Arial" w:cs="Arial" w:eastAsia="Arial" w:hAnsi="Arial"/>
                <w:b/>
                <w:bCs/>
                <w:i w:val="false"/>
                <w:iCs w:val="false"/>
                <w:color w:val="DC2626"/>
                <w:sz w:val="20"/>
                <w:szCs w:val="20"/>
              </w:rPr>
              <w:t xml:space="preserve">August 17</w:t>
            </w:r>
          </w:p>
        </w:tc>
        <w:tc>
          <w:tcPr>
            <w:tcW w:type="dxa" w:w="240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Statistics Canada CPI — July inflation</w:t>
            </w:r>
          </w:p>
        </w:tc>
        <w:tc>
          <w:tcPr>
            <w:tcW w:type="dxa" w:w="480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Cost of Living · City Pulse macro data · this report</w:t>
            </w:r>
          </w:p>
        </w:tc>
      </w:tr>
      <w:tr>
        <w:tc>
          <w:tcPr>
            <w:tcW w:type="dxa" w:w="216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bCs/>
                <w:i w:val="false"/>
                <w:iCs w:val="false"/>
                <w:color w:val="D97706"/>
                <w:sz w:val="20"/>
                <w:szCs w:val="20"/>
              </w:rPr>
              <w:t xml:space="preserve">September 2</w:t>
            </w:r>
          </w:p>
        </w:tc>
        <w:tc>
          <w:tcPr>
            <w:tcW w:type="dxa" w:w="240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Bank of Canada rate decision</w:t>
            </w:r>
          </w:p>
        </w:tc>
        <w:tc>
          <w:tcPr>
            <w:tcW w:type="dxa" w:w="480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BoC Rate in City Pulse · mortgage calculator · housing guide</w:t>
            </w:r>
          </w:p>
        </w:tc>
      </w:tr>
    </w:tbl>
    <w:p>
      <w:pPr>
        <w:pBdr>
          <w:bottom w:val="single" w:color="E5E7EB" w:sz="4" w:space="1"/>
        </w:pBdr>
        <w:spacing w:after="200" w:before="200"/>
      </w:pPr>
    </w:p>
    <w:p>
      <w:pPr>
        <w:pStyle w:val="Heading1"/>
        <w:pBdr>
          <w:left w:val="single" w:color="14B8A6" w:sz="20" w:space="8"/>
        </w:pBdr>
        <w:spacing w:after="120" w:before="360"/>
      </w:pPr>
      <w:r>
        <w:rPr>
          <w:rFonts w:ascii="Arial" w:cs="Arial" w:eastAsia="Arial" w:hAnsi="Arial"/>
          <w:b/>
          <w:bCs/>
          <w:color w:val="0d1f44"/>
          <w:sz w:val="30"/>
          <w:szCs w:val="30"/>
        </w:rPr>
        <w:t xml:space="preserve">8. Data Sources</w:t>
      </w:r>
    </w:p>
    <w:p>
      <w:pPr>
        <w:spacing w:after="80" w:before="80"/>
      </w:pPr>
      <w:r>
        <w:rPr>
          <w:rFonts w:ascii="Arial" w:cs="Arial" w:eastAsia="Arial" w:hAnsi="Arial"/>
          <w:color w:val="374151"/>
          <w:sz w:val="20"/>
          <w:szCs w:val="20"/>
        </w:rPr>
        <w:t xml:space="preserve">Lakive's city scores (Score, HPI, RPI, EOI) are proprietary composites calculated from public government and industry data. Inputs include median occupational wages (Job Bank Canada), home benchmark prices (CREA), average asking rents (Rentals.ca × Urbanation), provincial tax schedules, and employment absorption rates (Statistics Canada). The composite weighting methodology is not disclosed. Scores are recalibrated with each major data release.</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left"/>
            </w:pPr>
            <w:r>
              <w:rPr>
                <w:rFonts w:ascii="Arial" w:cs="Arial" w:eastAsia="Arial" w:hAnsi="Arial"/>
                <w:b/>
                <w:bCs/>
                <w:i w:val="false"/>
                <w:iCs w:val="false"/>
                <w:color w:val="FFFFFF"/>
                <w:sz w:val="20"/>
                <w:szCs w:val="20"/>
              </w:rPr>
              <w:t xml:space="preserve">Category</w:t>
            </w:r>
          </w:p>
        </w:tc>
        <w:tc>
          <w:tcPr>
            <w:tcW w:type="dxa" w:w="360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left"/>
            </w:pPr>
            <w:r>
              <w:rPr>
                <w:rFonts w:ascii="Arial" w:cs="Arial" w:eastAsia="Arial" w:hAnsi="Arial"/>
                <w:b/>
                <w:bCs/>
                <w:i w:val="false"/>
                <w:iCs w:val="false"/>
                <w:color w:val="FFFFFF"/>
                <w:sz w:val="20"/>
                <w:szCs w:val="20"/>
              </w:rPr>
              <w:t xml:space="preserve">Source</w:t>
            </w:r>
          </w:p>
        </w:tc>
        <w:tc>
          <w:tcPr>
            <w:tcW w:type="dxa" w:w="3600"/>
            <w:tcBorders>
              <w:top w:val="single" w:color="0d1f44" w:sz="1"/>
              <w:left w:val="single" w:color="0d1f44" w:sz="1"/>
              <w:bottom w:val="single" w:color="0d1f44" w:sz="1"/>
              <w:right w:val="single" w:color="0d1f44" w:sz="1"/>
            </w:tcBorders>
            <w:shd w:fill="0d1f44" w:val="clear"/>
            <w:tcMar>
              <w:top w:type="dxa" w:w="80"/>
              <w:left w:type="dxa" w:w="130"/>
              <w:bottom w:type="dxa" w:w="80"/>
              <w:right w:type="dxa" w:w="130"/>
            </w:tcMar>
            <w:vAlign w:val="center"/>
          </w:tcPr>
          <w:p>
            <w:pPr>
              <w:jc w:val="left"/>
            </w:pPr>
            <w:r>
              <w:rPr>
                <w:rFonts w:ascii="Arial" w:cs="Arial" w:eastAsia="Arial" w:hAnsi="Arial"/>
                <w:b/>
                <w:bCs/>
                <w:i w:val="false"/>
                <w:iCs w:val="false"/>
                <w:color w:val="FFFFFF"/>
                <w:sz w:val="20"/>
                <w:szCs w:val="20"/>
              </w:rPr>
              <w:t xml:space="preserve">Update Frequency</w:t>
            </w:r>
          </w:p>
        </w:tc>
      </w:tr>
      <w:tr>
        <w:tc>
          <w:tcPr>
            <w:tcW w:type="dxa" w:w="216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bCs/>
                <w:i w:val="false"/>
                <w:iCs w:val="false"/>
                <w:color w:val="0d1f44"/>
                <w:sz w:val="20"/>
                <w:szCs w:val="20"/>
              </w:rPr>
              <w:t xml:space="preserve">Rental Market</w:t>
            </w:r>
          </w:p>
        </w:tc>
        <w:tc>
          <w:tcPr>
            <w:tcW w:type="dxa" w:w="360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Rentals.ca × Urbanation</w:t>
            </w:r>
          </w:p>
        </w:tc>
        <w:tc>
          <w:tcPr>
            <w:tcW w:type="dxa" w:w="360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Monthly (~8th)</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d1f44"/>
                <w:sz w:val="20"/>
                <w:szCs w:val="20"/>
              </w:rPr>
              <w:t xml:space="preserve">Employment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Statistics Canada LFS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Monthly (first Friday)</w:t>
            </w:r>
          </w:p>
        </w:tc>
      </w:tr>
      <w:tr>
        <w:tc>
          <w:tcPr>
            <w:tcW w:type="dxa" w:w="216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bCs/>
                <w:i w:val="false"/>
                <w:iCs w:val="false"/>
                <w:color w:val="0d1f44"/>
                <w:sz w:val="20"/>
                <w:szCs w:val="20"/>
              </w:rPr>
              <w:t xml:space="preserve">Home Prices</w:t>
            </w:r>
          </w:p>
        </w:tc>
        <w:tc>
          <w:tcPr>
            <w:tcW w:type="dxa" w:w="360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CREA National Statistics</w:t>
            </w:r>
          </w:p>
        </w:tc>
        <w:tc>
          <w:tcPr>
            <w:tcW w:type="dxa" w:w="360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Monthly (15–18th)</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d1f44"/>
                <w:sz w:val="20"/>
                <w:szCs w:val="20"/>
              </w:rPr>
              <w:t xml:space="preserve">Inflation (CPI)</w:t>
            </w:r>
          </w:p>
        </w:tc>
        <w:tc>
          <w:tcPr>
            <w:tcW w:type="dxa" w:w="3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Statistics Canada</w:t>
            </w:r>
          </w:p>
        </w:tc>
        <w:tc>
          <w:tcPr>
            <w:tcW w:type="dxa" w:w="3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Monthly (15–18th)</w:t>
            </w:r>
          </w:p>
        </w:tc>
      </w:tr>
      <w:tr>
        <w:tc>
          <w:tcPr>
            <w:tcW w:type="dxa" w:w="216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bCs/>
                <w:i w:val="false"/>
                <w:iCs w:val="false"/>
                <w:color w:val="0d1f44"/>
                <w:sz w:val="20"/>
                <w:szCs w:val="20"/>
              </w:rPr>
              <w:t xml:space="preserve">Interest Rate</w:t>
            </w:r>
          </w:p>
        </w:tc>
        <w:tc>
          <w:tcPr>
            <w:tcW w:type="dxa" w:w="360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Bank of Canada</w:t>
            </w:r>
          </w:p>
        </w:tc>
        <w:tc>
          <w:tcPr>
            <w:tcW w:type="dxa" w:w="3600"/>
            <w:tcBorders>
              <w:top w:val="single" w:color="D1D5DB" w:sz="1"/>
              <w:left w:val="single" w:color="D1D5DB" w:sz="1"/>
              <w:bottom w:val="single" w:color="D1D5DB" w:sz="1"/>
              <w:right w:val="single" w:color="D1D5DB" w:sz="1"/>
            </w:tcBorders>
            <w:shd w:fill="F1F5F9"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8× per year</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d1f44"/>
                <w:sz w:val="20"/>
                <w:szCs w:val="20"/>
              </w:rPr>
              <w:t xml:space="preserve">City Scores (HPI/RPI/EOI)</w:t>
            </w:r>
          </w:p>
        </w:tc>
        <w:tc>
          <w:tcPr>
            <w:tcW w:type="dxa" w:w="3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Lakive proprietary model</w:t>
            </w:r>
          </w:p>
        </w:tc>
        <w:tc>
          <w:tcPr>
            <w:tcW w:type="dxa" w:w="3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11827"/>
                <w:sz w:val="20"/>
                <w:szCs w:val="20"/>
              </w:rPr>
              <w:t xml:space="preserve">Updated each data release</w:t>
            </w:r>
          </w:p>
        </w:tc>
      </w:tr>
    </w:tbl>
    <w:p>
      <w:pPr>
        <w:spacing w:after="60" w:before="200"/>
        <w:jc w:val="center"/>
      </w:pPr>
      <w:r>
        <w:rPr>
          <w:rFonts w:ascii="Arial" w:cs="Arial" w:eastAsia="Arial" w:hAnsi="Arial"/>
          <w:i/>
          <w:iCs/>
          <w:color w:val="64748B"/>
          <w:sz w:val="16"/>
          <w:szCs w:val="16"/>
        </w:rPr>
        <w:t xml:space="preserve">© 2026 Lakive. All rights reserved. For informational purposes only — not financial or investment advice.</w:t>
      </w:r>
    </w:p>
    <w:p>
      <w:pPr>
        <w:spacing w:after="0" w:before="0"/>
        <w:jc w:val="center"/>
      </w:pPr>
      <w:r>
        <w:rPr>
          <w:rFonts w:ascii="Arial" w:cs="Arial" w:eastAsia="Arial" w:hAnsi="Arial"/>
          <w:color w:val="64748B"/>
          <w:sz w:val="16"/>
          <w:szCs w:val="16"/>
        </w:rPr>
        <w:t xml:space="preserve">lakive.com/ranking  ·  lakive.com/compare  ·  lakive.com/reports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center"/>
    </w:pPr>
    <w:r>
      <w:rPr>
        <w:rFonts w:ascii="Arial" w:cs="Arial" w:eastAsia="Arial" w:hAnsi="Arial"/>
        <w:color w:val="64748B"/>
        <w:sz w:val="16"/>
        <w:szCs w:val="16"/>
      </w:rPr>
      <w:t xml:space="preserve">© 2026 Lakive  ·  lakive.com  ·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B8A6" w:sz="4" w:space="4"/>
      </w:pBdr>
      <w:jc w:val="right"/>
    </w:pPr>
    <w:r>
      <w:rPr>
        <w:rFonts w:ascii="Arial" w:cs="Arial" w:eastAsia="Arial" w:hAnsi="Arial"/>
        <w:color w:val="64748B"/>
        <w:sz w:val="18"/>
        <w:szCs w:val="18"/>
      </w:rPr>
      <w:t xml:space="preserve">Lakive Monthly Report  ·  July 2026  ·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f44"/>
      <w:sz w:val="30"/>
      <w:szCs w:val="30"/>
    </w:rPr>
  </w:style>
  <w:style w:type="paragraph" w:styleId="Heading2">
    <w:name w:val="Heading 2"/>
    <w:basedOn w:val="Normal"/>
    <w:next w:val="Normal"/>
    <w:qFormat/>
    <w:pPr>
      <w:spacing w:after="80" w:before="200"/>
      <w:outlineLvl w:val="1"/>
    </w:pPr>
    <w:rPr>
      <w:rFonts w:ascii="Arial" w:cs="Arial" w:eastAsia="Arial" w:hAnsi="Arial"/>
      <w:b/>
      <w:bCs/>
      <w:color w:val="0d1f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2026-08-07T06:25:08.965Z</dcterms:created>
  <dcterms:modified xsi:type="dcterms:W3CDTF">2026-08-07T06:25:08.965Z</dcterms:modified>
</cp:coreProperties>
</file>

<file path=docProps/custom.xml><?xml version="1.0" encoding="utf-8"?>
<Properties xmlns="http://schemas.openxmlformats.org/officeDocument/2006/custom-properties" xmlns:vt="http://schemas.openxmlformats.org/officeDocument/2006/docPropsVTypes"/>
</file>