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1A6B5A"/>
          <w:sz w:val="72"/>
          <w:szCs w:val="72"/>
        </w:rPr>
        <w:t xml:space="preserve">LAKIVE</w:t>
      </w:r>
    </w:p>
    <w:p>
      <w:pPr>
        <w:spacing w:after="80" w:before="0"/>
      </w:pPr>
      <w:r>
        <w:rPr>
          <w:rFonts w:ascii="Arial" w:cs="Arial" w:eastAsia="Arial" w:hAnsi="Arial"/>
          <w:color w:val="374151"/>
          <w:sz w:val="48"/>
          <w:szCs w:val="48"/>
        </w:rPr>
        <w:t xml:space="preserve">Strategy Brief</w:t>
      </w:r>
    </w:p>
    <w:p>
      <w:pPr>
        <w:spacing w:after="480" w:before="0"/>
      </w:pPr>
      <w:r>
        <w:rPr>
          <w:rFonts w:ascii="Arial" w:cs="Arial" w:eastAsia="Arial" w:hAnsi="Arial"/>
          <w:color w:val="6B7280"/>
          <w:sz w:val="26"/>
          <w:szCs w:val="26"/>
        </w:rPr>
        <w:t xml:space="preserve">2026  —  Version 1.0</w:t>
      </w:r>
    </w:p>
    <w:p>
      <w:pPr>
        <w:pBdr>
          <w:bottom w:val="single" w:color="14B8A6" w:sz="6" w:space="1"/>
        </w:pBdr>
        <w:spacing w:after="360" w:before="0"/>
      </w:pPr>
      <w:r>
        <w:t xml:space="preserve"/>
      </w:r>
    </w:p>
    <w:p>
      <w:pPr>
        <w:spacing w:after="140" w:before="0"/>
      </w:pPr>
      <w:r>
        <w:rPr>
          <w:rFonts w:ascii="Arial" w:cs="Arial" w:eastAsia="Arial" w:hAnsi="Arial"/>
          <w:b w:val="false"/>
          <w:bCs w:val="false"/>
          <w:color w:val="6B7280"/>
          <w:sz w:val="22"/>
          <w:szCs w:val="22"/>
        </w:rPr>
        <w:t xml:space="preserve">This document captures Lakive's strategic direction as it transitions from a Canadian city intelligence tool into a cross-national, multi-dimensional platform. It synthesizes platform positioning, user theory, data moat strategy, dimension prioritization, commercial path, and 12-month execution focus.</w:t>
      </w:r>
    </w:p>
    <w:p>
      <w:pPr>
        <w:spacing w:after="120" w:before="0"/>
      </w:pPr>
      <w:r>
        <w:t xml:space="preserve"/>
      </w:r>
    </w:p>
    <w:p>
      <w:pPr>
        <w:spacing w:after="140" w:before="0"/>
      </w:pPr>
      <w:r>
        <w:rPr>
          <w:rFonts w:ascii="Arial" w:cs="Arial" w:eastAsia="Arial" w:hAnsi="Arial"/>
          <w:b/>
          <w:bCs/>
          <w:color w:val="374151"/>
          <w:sz w:val="22"/>
          <w:szCs w:val="22"/>
        </w:rPr>
        <w:t xml:space="preserve">Not a product requirements document. Not a feature spec. This is the "why" and "where" behind every product and business decision made in 2026 and beyond.</w:t>
      </w:r>
    </w:p>
    <w:p>
      <w:pPr>
        <w:spacing w:after="120" w:before="0"/>
      </w:pPr>
      <w:r>
        <w:t xml:space="preserve"/>
      </w:r>
    </w:p>
    <w:p>
      <w:pPr>
        <w:spacing w:after="80" w:before="240"/>
      </w:pPr>
      <w:r>
        <w:rPr>
          <w:rFonts w:ascii="Arial" w:cs="Arial" w:eastAsia="Arial" w:hAnsi="Arial"/>
          <w:color w:val="6B7280"/>
          <w:sz w:val="22"/>
          <w:szCs w:val="22"/>
        </w:rPr>
        <w:t xml:space="preserve">Prepared by: Lakive Strategy Team</w:t>
      </w:r>
    </w:p>
    <w:p>
      <w:pPr>
        <w:spacing w:after="80" w:before="0"/>
      </w:pPr>
      <w:r>
        <w:rPr>
          <w:rFonts w:ascii="Arial" w:cs="Arial" w:eastAsia="Arial" w:hAnsi="Arial"/>
          <w:color w:val="6B7280"/>
          <w:sz w:val="22"/>
          <w:szCs w:val="22"/>
        </w:rPr>
        <w:t xml:space="preserve">Date: July 2026</w:t>
      </w:r>
    </w:p>
    <w:p>
      <w:pPr>
        <w:spacing w:after="80" w:before="0"/>
      </w:pPr>
      <w:r>
        <w:rPr>
          <w:rFonts w:ascii="Arial" w:cs="Arial" w:eastAsia="Arial" w:hAnsi="Arial"/>
          <w:color w:val="6B7280"/>
          <w:sz w:val="22"/>
          <w:szCs w:val="22"/>
        </w:rPr>
        <w:t xml:space="preserve">Status: Internal — Confidential</w:t>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1.  Platform Positioning</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1.1  The Core Question Lakive Answers</w:t>
      </w:r>
    </w:p>
    <w:p>
      <w:pPr>
        <w:spacing w:after="140" w:before="0"/>
      </w:pPr>
      <w:r>
        <w:rPr>
          <w:rFonts w:ascii="Arial" w:cs="Arial" w:eastAsia="Arial" w:hAnsi="Arial"/>
          <w:b w:val="false"/>
          <w:bCs w:val="false"/>
          <w:color w:val="374151"/>
          <w:sz w:val="22"/>
          <w:szCs w:val="22"/>
        </w:rPr>
        <w:t xml:space="preserve">Every person's relationship with a city is shaped by who they are — their career stage, family structure, financial situation, values, and life goals. Generic city rankings miss this entirely. Lakive exists to answer one question: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The Lakive Question</w:t>
            </w:r>
          </w:p>
          <w:p>
            <w:pPr>
              <w:spacing w:after="0" w:before="0"/>
            </w:pPr>
            <w:r>
              <w:rPr>
                <w:rFonts w:ascii="Arial" w:cs="Arial" w:eastAsia="Arial" w:hAnsi="Arial"/>
                <w:color w:val="374151"/>
                <w:sz w:val="21"/>
                <w:szCs w:val="21"/>
              </w:rPr>
              <w:t xml:space="preserve">"At my current life stage — given my occupation, family situation, and priorities — what is my real relationship with this city?"</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1.2  The Glassdoor Analogy</w:t>
      </w:r>
    </w:p>
    <w:p>
      <w:pPr>
        <w:spacing w:after="140" w:before="0"/>
      </w:pPr>
      <w:r>
        <w:rPr>
          <w:rFonts w:ascii="Arial" w:cs="Arial" w:eastAsia="Arial" w:hAnsi="Arial"/>
          <w:b w:val="false"/>
          <w:bCs w:val="false"/>
          <w:color w:val="374151"/>
          <w:sz w:val="22"/>
          <w:szCs w:val="22"/>
        </w:rPr>
        <w:t xml:space="preserve">Glassdoor transformed the relationship between employees and companies by allowing workers to share real, firsthand experiences about compensation, culture, and work conditions. Before Glassdoor, this information was opaque. After Glassdoor, it was structured, searchable, and trusted.</w:t>
      </w:r>
    </w:p>
    <w:p>
      <w:pPr>
        <w:spacing w:after="120" w:before="0"/>
      </w:pPr>
      <w:r>
        <w:t xml:space="preserve"/>
      </w:r>
    </w:p>
    <w:p>
      <w:pPr>
        <w:spacing w:after="140" w:before="0"/>
      </w:pPr>
      <w:r>
        <w:rPr>
          <w:rFonts w:ascii="Arial" w:cs="Arial" w:eastAsia="Arial" w:hAnsi="Arial"/>
          <w:b w:val="false"/>
          <w:bCs w:val="false"/>
          <w:color w:val="374151"/>
          <w:sz w:val="22"/>
          <w:szCs w:val="22"/>
        </w:rPr>
        <w:t xml:space="preserve">Lakive does the same for cities — but with one critical addition: the Human layer.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What</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Glassdoor</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Lakive</w:t>
            </w:r>
          </w:p>
        </w:tc>
      </w:tr>
      <w:tr>
        <w:tc>
          <w:tcPr>
            <w:tcW w:type="dxa" w:w="2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Subject</w:t>
            </w:r>
          </w:p>
        </w:tc>
        <w:tc>
          <w:tcPr>
            <w:tcW w:type="dxa" w:w="35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Companies</w:t>
            </w:r>
          </w:p>
        </w:tc>
        <w:tc>
          <w:tcPr>
            <w:tcW w:type="dxa" w:w="35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Cities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User question</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"Is this company right for me?"</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"Is this city right for me?"</w:t>
            </w:r>
          </w:p>
        </w:tc>
      </w:tr>
      <w:tr>
        <w:tc>
          <w:tcPr>
            <w:tcW w:type="dxa" w:w="2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Data source</w:t>
            </w:r>
          </w:p>
        </w:tc>
        <w:tc>
          <w:tcPr>
            <w:tcW w:type="dxa" w:w="35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Employee reviews (structured)</w:t>
            </w:r>
          </w:p>
        </w:tc>
        <w:tc>
          <w:tcPr>
            <w:tcW w:type="dxa" w:w="35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Resident experiences (structured)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Unique layer</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Company-level data (ratings, salary)</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Human-level context (occupation, family, life stage)</w:t>
            </w:r>
          </w:p>
        </w:tc>
      </w:tr>
      <w:tr>
        <w:tc>
          <w:tcPr>
            <w:tcW w:type="dxa" w:w="22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Monetization</w:t>
            </w:r>
          </w:p>
        </w:tc>
        <w:tc>
          <w:tcPr>
            <w:tcW w:type="dxa" w:w="35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Employer branding (B2B)</w:t>
            </w:r>
          </w:p>
        </w:tc>
        <w:tc>
          <w:tcPr>
            <w:tcW w:type="dxa" w:w="35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City talent attraction (B2B)</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Trust model</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Independence from reviewed company</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Independence from reviewed city</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1.3  The Three-Layer Framework</w:t>
      </w:r>
    </w:p>
    <w:p>
      <w:pPr>
        <w:spacing w:after="140" w:before="0"/>
      </w:pPr>
      <w:r>
        <w:rPr>
          <w:rFonts w:ascii="Arial" w:cs="Arial" w:eastAsia="Arial" w:hAnsi="Arial"/>
          <w:b w:val="false"/>
          <w:bCs w:val="false"/>
          <w:color w:val="374151"/>
          <w:sz w:val="22"/>
          <w:szCs w:val="22"/>
        </w:rPr>
        <w:t xml:space="preserve">Lakive operates across three interlocking layers: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HUMAN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The person. Career stage, family structure, financial situation, lifestyle values. This is the lens through which all city data is filtered. Without this layer, data is just averages.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LAKIVE</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The platform. The interface between the Human and the City. Lakive translates raw city data into personalized, contextual intelligence — telling the user what the numbers actually mean for someone like them.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The destination. Multidimensional urban data: housing costs, income benchmarks, tax rates, job market health, healthcare quality, education systems, transit, climate, safety, community, and culture.</w:t>
            </w:r>
          </w:p>
        </w:tc>
      </w:tr>
    </w:tbl>
    <w:p>
      <w:pPr>
        <w:spacing w:after="120" w:before="0"/>
      </w:pPr>
      <w:r>
        <w:t xml:space="preserve"/>
      </w:r>
    </w:p>
    <w:p>
      <w:pPr>
        <w:spacing w:after="140" w:before="0"/>
      </w:pPr>
      <w:r>
        <w:rPr>
          <w:rFonts w:ascii="Arial" w:cs="Arial" w:eastAsia="Arial" w:hAnsi="Arial"/>
          <w:b w:val="false"/>
          <w:bCs w:val="false"/>
          <w:color w:val="374151"/>
          <w:sz w:val="22"/>
          <w:szCs w:val="22"/>
        </w:rPr>
        <w:t xml:space="preserve">Most city comparison platforms start and end at the CITY layer. Lakive starts at the HUMAN layer. The result is not just data — it is a decision support tool tailored to a specific person at a specific moment in their life.</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1.4  Strategic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Positioning</w:t>
            </w:r>
          </w:p>
          <w:p>
            <w:pPr>
              <w:spacing w:after="0" w:before="0"/>
            </w:pPr>
            <w:r>
              <w:rPr>
                <w:rFonts w:ascii="Arial" w:cs="Arial" w:eastAsia="Arial" w:hAnsi="Arial"/>
                <w:color w:val="374151"/>
                <w:sz w:val="21"/>
                <w:szCs w:val="21"/>
              </w:rPr>
              <w:t xml:space="preserve">Lakive is an interactive city intelligence platform that helps people make better relocation decisions by mapping objective city data to individual human circumstances. We are not a city ranking site. We are not a real estate platform. We are the intersection of who you are and where you could go.</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1.5  What Lakive Is Not</w:t>
      </w:r>
    </w:p>
    <w:p>
      <w:pPr>
        <w:pStyle w:val="ListParagraph"/>
        <w:numPr>
          <w:ilvl w:val="0"/>
          <w:numId w:val="2"/>
        </w:numPr>
        <w:spacing w:after="40" w:before="40"/>
      </w:pPr>
      <w:r>
        <w:rPr>
          <w:rFonts w:ascii="Arial" w:cs="Arial" w:eastAsia="Arial" w:hAnsi="Arial"/>
          <w:color w:val="374151"/>
          <w:sz w:val="22"/>
          <w:szCs w:val="22"/>
        </w:rPr>
        <w:t xml:space="preserve">Not a city ranking site. Rankings are inherently decontextualized — "best city" means nothing without knowing best for whom.</w:t>
      </w:r>
    </w:p>
    <w:p>
      <w:pPr>
        <w:pStyle w:val="ListParagraph"/>
        <w:numPr>
          <w:ilvl w:val="0"/>
          <w:numId w:val="2"/>
        </w:numPr>
        <w:spacing w:after="40" w:before="40"/>
      </w:pPr>
      <w:r>
        <w:rPr>
          <w:rFonts w:ascii="Arial" w:cs="Arial" w:eastAsia="Arial" w:hAnsi="Arial"/>
          <w:color w:val="374151"/>
          <w:sz w:val="22"/>
          <w:szCs w:val="22"/>
        </w:rPr>
        <w:t xml:space="preserve">Not a real estate platform. Housing is a dimension, not the product.</w:t>
      </w:r>
    </w:p>
    <w:p>
      <w:pPr>
        <w:pStyle w:val="ListParagraph"/>
        <w:numPr>
          <w:ilvl w:val="0"/>
          <w:numId w:val="2"/>
        </w:numPr>
        <w:spacing w:after="40" w:before="40"/>
      </w:pPr>
      <w:r>
        <w:rPr>
          <w:rFonts w:ascii="Arial" w:cs="Arial" w:eastAsia="Arial" w:hAnsi="Arial"/>
          <w:color w:val="374151"/>
          <w:sz w:val="22"/>
          <w:szCs w:val="22"/>
        </w:rPr>
        <w:t xml:space="preserve">Not a news or content site. Static content fades. Data compounds.</w:t>
      </w:r>
    </w:p>
    <w:p>
      <w:pPr>
        <w:pStyle w:val="ListParagraph"/>
        <w:numPr>
          <w:ilvl w:val="0"/>
          <w:numId w:val="2"/>
        </w:numPr>
        <w:spacing w:after="40" w:before="40"/>
      </w:pPr>
      <w:r>
        <w:rPr>
          <w:rFonts w:ascii="Arial" w:cs="Arial" w:eastAsia="Arial" w:hAnsi="Arial"/>
          <w:color w:val="374151"/>
          <w:sz w:val="22"/>
          <w:szCs w:val="22"/>
        </w:rPr>
        <w:t xml:space="preserve">Not a paid-placement directory. Cities cannot buy better scores or suppress unfavorable data.</w:t>
      </w:r>
    </w:p>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2.  Core User Definition</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2.1  Primary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Core User</w:t>
            </w:r>
          </w:p>
          <w:p>
            <w:pPr>
              <w:spacing w:after="0" w:before="0"/>
            </w:pPr>
            <w:r>
              <w:rPr>
                <w:rFonts w:ascii="Arial" w:cs="Arial" w:eastAsia="Arial" w:hAnsi="Arial"/>
                <w:color w:val="374151"/>
                <w:sz w:val="21"/>
                <w:szCs w:val="21"/>
              </w:rPr>
              <w:t xml:space="preserve">A person actively planning a significant relocation — 3 to 12 months before making the decision. They are not casually browsing. They are evaluating. Every data point they find influences a choice that will shape the next 5 to 10 years of their life.</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2.2  What Defines This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Planning horizon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3 to 12 months before move. Serious enough to research, uncertain enough to still be deciding.</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Decision stakes</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High. Cross-city or cross-country relocation involves career change, housing commitment, school enrollment, family uprooting. Getting it wrong is costly.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Information gap</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Large. Can I afford to buy a home in 5 years? Will my profession be in demand there? What are the real tax implications? How good are the schools?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Existing tools</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Inadequate. Numbeo gives raw numbers. Wikipedia gives descriptions. Reddit gives anecdotes. None provides structured, occupation-specific, life-stage-adjusted guidance.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Emotional state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Anxious, ambitious, and open. They are making a bet on a city. They need to trust the information source deeply.</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2.3  Three Archetypal Users</w:t>
      </w:r>
    </w:p>
    <w:p>
      <w:pPr>
        <w:pStyle w:val="Heading3"/>
        <w:spacing w:after="80" w:before="200"/>
      </w:pPr>
      <w:r>
        <w:rPr>
          <w:rFonts w:ascii="Arial" w:cs="Arial" w:eastAsia="Arial" w:hAnsi="Arial"/>
          <w:b/>
          <w:bCs/>
          <w:color w:val="1A6B5A"/>
          <w:sz w:val="24"/>
          <w:szCs w:val="24"/>
        </w:rPr>
        <w:t xml:space="preserve">Archetype A: The Career-Driven Immigrant</w:t>
      </w:r>
    </w:p>
    <w:p>
      <w:pPr>
        <w:spacing w:after="140" w:before="0"/>
      </w:pPr>
      <w:r>
        <w:rPr>
          <w:rFonts w:ascii="Arial" w:cs="Arial" w:eastAsia="Arial" w:hAnsi="Arial"/>
          <w:b w:val="false"/>
          <w:bCs w:val="false"/>
          <w:color w:val="374151"/>
          <w:sz w:val="22"/>
          <w:szCs w:val="22"/>
        </w:rPr>
        <w:t xml:space="preserve">Software engineer, 29, moving from India to North America. Primary concern: income vs. cost of living. How many years to home ownership? What is the effective tax rate? Which cities have the most job postings for my role? H-1B sponsorship quality matters.</w:t>
      </w:r>
    </w:p>
    <w:p>
      <w:pPr>
        <w:spacing w:after="120" w:before="0"/>
      </w:pPr>
      <w:r>
        <w:t xml:space="preserve"/>
      </w:r>
    </w:p>
    <w:p>
      <w:pPr>
        <w:pStyle w:val="Heading3"/>
        <w:spacing w:after="80" w:before="200"/>
      </w:pPr>
      <w:r>
        <w:rPr>
          <w:rFonts w:ascii="Arial" w:cs="Arial" w:eastAsia="Arial" w:hAnsi="Arial"/>
          <w:b/>
          <w:bCs/>
          <w:color w:val="1A6B5A"/>
          <w:sz w:val="24"/>
          <w:szCs w:val="24"/>
        </w:rPr>
        <w:t xml:space="preserve">Archetype B: The Domestic Relocating Family</w:t>
      </w:r>
    </w:p>
    <w:p>
      <w:pPr>
        <w:spacing w:after="140" w:before="0"/>
      </w:pPr>
      <w:r>
        <w:rPr>
          <w:rFonts w:ascii="Arial" w:cs="Arial" w:eastAsia="Arial" w:hAnsi="Arial"/>
          <w:b w:val="false"/>
          <w:bCs w:val="false"/>
          <w:color w:val="374151"/>
          <w:sz w:val="22"/>
          <w:szCs w:val="22"/>
        </w:rPr>
        <w:t xml:space="preserve">Teacher and retail manager couple, mid-30s, two children. Moving from Toronto to a smaller city or across provinces. Primary concern: school quality, family safety, mortgage affordability on dual income. Healthcare access is critical.</w:t>
      </w:r>
    </w:p>
    <w:p>
      <w:pPr>
        <w:spacing w:after="120" w:before="0"/>
      </w:pPr>
      <w:r>
        <w:t xml:space="preserve"/>
      </w:r>
    </w:p>
    <w:p>
      <w:pPr>
        <w:pStyle w:val="Heading3"/>
        <w:spacing w:after="80" w:before="200"/>
      </w:pPr>
      <w:r>
        <w:rPr>
          <w:rFonts w:ascii="Arial" w:cs="Arial" w:eastAsia="Arial" w:hAnsi="Arial"/>
          <w:b/>
          <w:bCs/>
          <w:color w:val="1A6B5A"/>
          <w:sz w:val="24"/>
          <w:szCs w:val="24"/>
        </w:rPr>
        <w:t xml:space="preserve">Archetype C: The Mid-Career Professional Reassessing</w:t>
      </w:r>
    </w:p>
    <w:p>
      <w:pPr>
        <w:spacing w:after="140" w:before="0"/>
      </w:pPr>
      <w:r>
        <w:rPr>
          <w:rFonts w:ascii="Arial" w:cs="Arial" w:eastAsia="Arial" w:hAnsi="Arial"/>
          <w:b w:val="false"/>
          <w:bCs w:val="false"/>
          <w:color w:val="374151"/>
          <w:sz w:val="22"/>
          <w:szCs w:val="22"/>
        </w:rPr>
        <w:t xml:space="preserve">Accountant or nurse, early 40s, recently divorced or post-pandemic recalibration. Evaluating cities not just on economics but on quality of life, community, and culture. Open to lower salary if lifestyle gains are real.</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2.4  Secondary Segments (Future)</w:t>
      </w:r>
    </w:p>
    <w:p>
      <w:pPr>
        <w:pStyle w:val="ListParagraph"/>
        <w:numPr>
          <w:ilvl w:val="0"/>
          <w:numId w:val="2"/>
        </w:numPr>
        <w:spacing w:after="40" w:before="40"/>
      </w:pPr>
      <w:r>
        <w:rPr>
          <w:rFonts w:ascii="Arial" w:cs="Arial" w:eastAsia="Arial" w:hAnsi="Arial"/>
          <w:color w:val="374151"/>
          <w:sz w:val="22"/>
          <w:szCs w:val="22"/>
        </w:rPr>
        <w:t xml:space="preserve">Employers managing relocation decisions for incoming hires.</w:t>
      </w:r>
    </w:p>
    <w:p>
      <w:pPr>
        <w:pStyle w:val="ListParagraph"/>
        <w:numPr>
          <w:ilvl w:val="0"/>
          <w:numId w:val="2"/>
        </w:numPr>
        <w:spacing w:after="40" w:before="40"/>
      </w:pPr>
      <w:r>
        <w:rPr>
          <w:rFonts w:ascii="Arial" w:cs="Arial" w:eastAsia="Arial" w:hAnsi="Arial"/>
          <w:color w:val="374151"/>
          <w:sz w:val="22"/>
          <w:szCs w:val="22"/>
        </w:rPr>
        <w:t xml:space="preserve">Immigration consultants advising clients on city selection.</w:t>
      </w:r>
    </w:p>
    <w:p>
      <w:pPr>
        <w:pStyle w:val="ListParagraph"/>
        <w:numPr>
          <w:ilvl w:val="0"/>
          <w:numId w:val="2"/>
        </w:numPr>
        <w:spacing w:after="40" w:before="40"/>
      </w:pPr>
      <w:r>
        <w:rPr>
          <w:rFonts w:ascii="Arial" w:cs="Arial" w:eastAsia="Arial" w:hAnsi="Arial"/>
          <w:color w:val="374151"/>
          <w:sz w:val="22"/>
          <w:szCs w:val="22"/>
        </w:rPr>
        <w:t xml:space="preserve">Government economic development teams measuring talent attraction.</w:t>
      </w:r>
    </w:p>
    <w:p>
      <w:pPr>
        <w:pStyle w:val="ListParagraph"/>
        <w:numPr>
          <w:ilvl w:val="0"/>
          <w:numId w:val="2"/>
        </w:numPr>
        <w:spacing w:after="40" w:before="40"/>
      </w:pPr>
      <w:r>
        <w:rPr>
          <w:rFonts w:ascii="Arial" w:cs="Arial" w:eastAsia="Arial" w:hAnsi="Arial"/>
          <w:color w:val="374151"/>
          <w:sz w:val="22"/>
          <w:szCs w:val="22"/>
        </w:rPr>
        <w:t xml:space="preserve">Graduate students evaluating cities for their first career move.</w:t>
      </w:r>
    </w:p>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3.  Data Moat Strategy</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3.1  The Core Problem with Public Data</w:t>
      </w:r>
    </w:p>
    <w:p>
      <w:pPr>
        <w:spacing w:after="140" w:before="0"/>
      </w:pPr>
      <w:r>
        <w:rPr>
          <w:rFonts w:ascii="Arial" w:cs="Arial" w:eastAsia="Arial" w:hAnsi="Arial"/>
          <w:b w:val="false"/>
          <w:bCs w:val="false"/>
          <w:color w:val="374151"/>
          <w:sz w:val="22"/>
          <w:szCs w:val="22"/>
        </w:rPr>
        <w:t xml:space="preserve">Lakive currently sources from Statistics Canada, CMHC, CREA, the BLS, Zillow, and other public agencies. This data is accessible to any competitor. It creates no durable advantage.</w:t>
      </w:r>
    </w:p>
    <w:p>
      <w:pPr>
        <w:spacing w:after="120" w:before="0"/>
      </w:pPr>
      <w:r>
        <w:t xml:space="preserve"/>
      </w:r>
    </w:p>
    <w:p>
      <w:pPr>
        <w:spacing w:after="140" w:before="0"/>
      </w:pPr>
      <w:r>
        <w:rPr>
          <w:rFonts w:ascii="Arial" w:cs="Arial" w:eastAsia="Arial" w:hAnsi="Arial"/>
          <w:b w:val="false"/>
          <w:bCs w:val="false"/>
          <w:color w:val="374151"/>
          <w:sz w:val="22"/>
          <w:szCs w:val="22"/>
        </w:rPr>
        <w:t xml:space="preserve">The true competitive moat is proprietary experiential data — firsthand accounts from real people living real lives in these cities. When enough of it accumulates, Lakive becomes impossible to replicate.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The Moat Thesis</w:t>
            </w:r>
          </w:p>
          <w:p>
            <w:pPr>
              <w:spacing w:after="0" w:before="0"/>
            </w:pPr>
            <w:r>
              <w:rPr>
                <w:rFonts w:ascii="Arial" w:cs="Arial" w:eastAsia="Arial" w:hAnsi="Arial"/>
                <w:color w:val="374151"/>
                <w:sz w:val="21"/>
                <w:szCs w:val="21"/>
              </w:rPr>
              <w:t xml:space="preserve">Glassdoor's real asset is not its salary data — it is 10 years of structured reviews from millions of employees that no competitor can reproduce. Lakive's moat is the same: structured, occupation-and-city-specific experiences that compound over time into an asset competitors cannot buy.</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3.2  The City Experience Submission</w:t>
      </w:r>
    </w:p>
    <w:p>
      <w:pPr>
        <w:spacing w:after="140" w:before="0"/>
      </w:pPr>
      <w:r>
        <w:rPr>
          <w:rFonts w:ascii="Arial" w:cs="Arial" w:eastAsia="Arial" w:hAnsi="Arial"/>
          <w:b w:val="false"/>
          <w:bCs w:val="false"/>
          <w:color w:val="374151"/>
          <w:sz w:val="22"/>
          <w:szCs w:val="22"/>
        </w:rPr>
        <w:t xml:space="preserve">Free-text comments are low quality and hard to aggregate. The moat requires structured submissions — a form that turns personal experience into data.</w:t>
      </w:r>
    </w:p>
    <w:p>
      <w:pPr>
        <w:spacing w:after="120" w:before="0"/>
      </w:pPr>
      <w:r>
        <w:t xml:space="preserve"/>
      </w:r>
    </w:p>
    <w:p>
      <w:pPr>
        <w:spacing w:after="140" w:before="0"/>
      </w:pPr>
      <w:r>
        <w:rPr>
          <w:rFonts w:ascii="Arial" w:cs="Arial" w:eastAsia="Arial" w:hAnsi="Arial"/>
          <w:b w:val="false"/>
          <w:bCs w:val="false"/>
          <w:color w:val="374151"/>
          <w:sz w:val="22"/>
          <w:szCs w:val="22"/>
        </w:rPr>
        <w:t xml:space="preserve">Key fields in the submission:</w:t>
      </w:r>
    </w:p>
    <w:p>
      <w:pPr>
        <w:pStyle w:val="ListParagraph"/>
        <w:numPr>
          <w:ilvl w:val="0"/>
          <w:numId w:val="2"/>
        </w:numPr>
        <w:spacing w:after="40" w:before="40"/>
      </w:pPr>
      <w:r>
        <w:rPr>
          <w:rFonts w:ascii="Arial" w:cs="Arial" w:eastAsia="Arial" w:hAnsi="Arial"/>
          <w:color w:val="374151"/>
          <w:sz w:val="22"/>
          <w:szCs w:val="22"/>
        </w:rPr>
        <w:t xml:space="preserve">Occupation (dropdown, standardized to Lakive taxonomy)</w:t>
      </w:r>
    </w:p>
    <w:p>
      <w:pPr>
        <w:pStyle w:val="ListParagraph"/>
        <w:numPr>
          <w:ilvl w:val="0"/>
          <w:numId w:val="2"/>
        </w:numPr>
        <w:spacing w:after="40" w:before="40"/>
      </w:pPr>
      <w:r>
        <w:rPr>
          <w:rFonts w:ascii="Arial" w:cs="Arial" w:eastAsia="Arial" w:hAnsi="Arial"/>
          <w:color w:val="374151"/>
          <w:sz w:val="22"/>
          <w:szCs w:val="22"/>
        </w:rPr>
        <w:t xml:space="preserve">City (standardized)</w:t>
      </w:r>
    </w:p>
    <w:p>
      <w:pPr>
        <w:pStyle w:val="ListParagraph"/>
        <w:numPr>
          <w:ilvl w:val="0"/>
          <w:numId w:val="2"/>
        </w:numPr>
        <w:spacing w:after="40" w:before="40"/>
      </w:pPr>
      <w:r>
        <w:rPr>
          <w:rFonts w:ascii="Arial" w:cs="Arial" w:eastAsia="Arial" w:hAnsi="Arial"/>
          <w:color w:val="374151"/>
          <w:sz w:val="22"/>
          <w:szCs w:val="22"/>
        </w:rPr>
        <w:t xml:space="preserve">Years living in city (range: &lt;1, 1-3, 3-5, 5+)</w:t>
      </w:r>
    </w:p>
    <w:p>
      <w:pPr>
        <w:pStyle w:val="ListParagraph"/>
        <w:numPr>
          <w:ilvl w:val="0"/>
          <w:numId w:val="2"/>
        </w:numPr>
        <w:spacing w:after="40" w:before="40"/>
      </w:pPr>
      <w:r>
        <w:rPr>
          <w:rFonts w:ascii="Arial" w:cs="Arial" w:eastAsia="Arial" w:hAnsi="Arial"/>
          <w:color w:val="374151"/>
          <w:sz w:val="22"/>
          <w:szCs w:val="22"/>
        </w:rPr>
        <w:t xml:space="preserve">Income range (broad band, e.g., $60K-$80K CAD)</w:t>
      </w:r>
    </w:p>
    <w:p>
      <w:pPr>
        <w:pStyle w:val="ListParagraph"/>
        <w:numPr>
          <w:ilvl w:val="0"/>
          <w:numId w:val="2"/>
        </w:numPr>
        <w:spacing w:after="40" w:before="40"/>
      </w:pPr>
      <w:r>
        <w:rPr>
          <w:rFonts w:ascii="Arial" w:cs="Arial" w:eastAsia="Arial" w:hAnsi="Arial"/>
          <w:color w:val="374151"/>
          <w:sz w:val="22"/>
          <w:szCs w:val="22"/>
        </w:rPr>
        <w:t xml:space="preserve">Monthly rent or mortgage payment</w:t>
      </w:r>
    </w:p>
    <w:p>
      <w:pPr>
        <w:pStyle w:val="ListParagraph"/>
        <w:numPr>
          <w:ilvl w:val="0"/>
          <w:numId w:val="2"/>
        </w:numPr>
        <w:spacing w:after="40" w:before="40"/>
      </w:pPr>
      <w:r>
        <w:rPr>
          <w:rFonts w:ascii="Arial" w:cs="Arial" w:eastAsia="Arial" w:hAnsi="Arial"/>
          <w:color w:val="374151"/>
          <w:sz w:val="22"/>
          <w:szCs w:val="22"/>
        </w:rPr>
        <w:t xml:space="preserve">Family size (single / couple / family with children)</w:t>
      </w:r>
    </w:p>
    <w:p>
      <w:pPr>
        <w:pStyle w:val="ListParagraph"/>
        <w:numPr>
          <w:ilvl w:val="0"/>
          <w:numId w:val="2"/>
        </w:numPr>
        <w:spacing w:after="40" w:before="40"/>
      </w:pPr>
      <w:r>
        <w:rPr>
          <w:rFonts w:ascii="Arial" w:cs="Arial" w:eastAsia="Arial" w:hAnsi="Arial"/>
          <w:color w:val="374151"/>
          <w:sz w:val="22"/>
          <w:szCs w:val="22"/>
        </w:rPr>
        <w:t xml:space="preserve">Overall financial stress rating (1-5)</w:t>
      </w:r>
    </w:p>
    <w:p>
      <w:pPr>
        <w:pStyle w:val="ListParagraph"/>
        <w:numPr>
          <w:ilvl w:val="0"/>
          <w:numId w:val="2"/>
        </w:numPr>
        <w:spacing w:after="40" w:before="40"/>
      </w:pPr>
      <w:r>
        <w:rPr>
          <w:rFonts w:ascii="Arial" w:cs="Arial" w:eastAsia="Arial" w:hAnsi="Arial"/>
          <w:color w:val="374151"/>
          <w:sz w:val="22"/>
          <w:szCs w:val="22"/>
        </w:rPr>
        <w:t xml:space="preserve">Job market quality for your occupation (1-5)</w:t>
      </w:r>
    </w:p>
    <w:p>
      <w:pPr>
        <w:pStyle w:val="ListParagraph"/>
        <w:numPr>
          <w:ilvl w:val="0"/>
          <w:numId w:val="2"/>
        </w:numPr>
        <w:spacing w:after="40" w:before="40"/>
      </w:pPr>
      <w:r>
        <w:rPr>
          <w:rFonts w:ascii="Arial" w:cs="Arial" w:eastAsia="Arial" w:hAnsi="Arial"/>
          <w:color w:val="374151"/>
          <w:sz w:val="22"/>
          <w:szCs w:val="22"/>
        </w:rPr>
        <w:t xml:space="preserve">Would you recommend this city for someone in your situation? (Yes / Neutral / No)</w:t>
      </w:r>
    </w:p>
    <w:p>
      <w:pPr>
        <w:pStyle w:val="ListParagraph"/>
        <w:numPr>
          <w:ilvl w:val="0"/>
          <w:numId w:val="2"/>
        </w:numPr>
        <w:spacing w:after="40" w:before="40"/>
      </w:pPr>
      <w:r>
        <w:rPr>
          <w:rFonts w:ascii="Arial" w:cs="Arial" w:eastAsia="Arial" w:hAnsi="Arial"/>
          <w:color w:val="374151"/>
          <w:sz w:val="22"/>
          <w:szCs w:val="22"/>
        </w:rPr>
        <w:t xml:space="preserve">One free-text field: "What surprised you most about living here?"</w:t>
      </w:r>
    </w:p>
    <w:p>
      <w:pPr>
        <w:spacing w:after="120" w:before="0"/>
      </w:pPr>
      <w:r>
        <w:t xml:space="preserve"/>
      </w:r>
    </w:p>
    <w:p>
      <w:pPr>
        <w:spacing w:after="140" w:before="0"/>
      </w:pPr>
      <w:r>
        <w:rPr>
          <w:rFonts w:ascii="Arial" w:cs="Arial" w:eastAsia="Arial" w:hAnsi="Arial"/>
          <w:b w:val="false"/>
          <w:bCs w:val="false"/>
          <w:color w:val="374151"/>
          <w:sz w:val="22"/>
          <w:szCs w:val="22"/>
        </w:rPr>
        <w:t xml:space="preserve">This structure allows Lakive to display aggregated claims with statistical credibility — not individual anecdotes, but distributions and proportions: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Example Aggregated Insight</w:t>
            </w:r>
          </w:p>
          <w:p>
            <w:pPr>
              <w:spacing w:after="0" w:before="0"/>
            </w:pPr>
            <w:r>
              <w:rPr>
                <w:rFonts w:ascii="Arial" w:cs="Arial" w:eastAsia="Arial" w:hAnsi="Arial"/>
                <w:color w:val="374151"/>
                <w:sz w:val="21"/>
                <w:szCs w:val="21"/>
              </w:rPr>
              <w:t xml:space="preserve">"72% of registered nurses who submitted experiences in Vancouver report that their monthly housing costs exceed 35% of gross income. Among those with children, that figure rises to 84%."</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3.3  Cold Start Strategy</w:t>
      </w:r>
    </w:p>
    <w:p>
      <w:pPr>
        <w:spacing w:after="140" w:before="0"/>
      </w:pPr>
      <w:r>
        <w:rPr>
          <w:rFonts w:ascii="Arial" w:cs="Arial" w:eastAsia="Arial" w:hAnsi="Arial"/>
          <w:b w:val="false"/>
          <w:bCs w:val="false"/>
          <w:color w:val="374151"/>
          <w:sz w:val="22"/>
          <w:szCs w:val="22"/>
        </w:rPr>
        <w:t xml:space="preserve">The moat has no value at zero submissions. The cold start plan:</w:t>
      </w:r>
    </w:p>
    <w:p>
      <w:pPr>
        <w:spacing w:after="120" w:before="0"/>
      </w:pPr>
      <w:r>
        <w:t xml:space="preserve"/>
      </w:r>
    </w:p>
    <w:p>
      <w:pPr>
        <w:pStyle w:val="ListParagraph"/>
        <w:numPr>
          <w:ilvl w:val="0"/>
          <w:numId w:val="3"/>
        </w:numPr>
        <w:spacing w:after="40" w:before="40"/>
      </w:pPr>
      <w:r>
        <w:rPr>
          <w:rFonts w:ascii="Arial" w:cs="Arial" w:eastAsia="Arial" w:hAnsi="Arial"/>
          <w:color w:val="374151"/>
          <w:sz w:val="22"/>
          <w:szCs w:val="22"/>
        </w:rPr>
        <w:t xml:space="preserve">Focus initial submission drive on 2 cities and 4 occupations (e.g., Toronto + Vancouver; software engineer, nurse, teacher, electrician).</w:t>
      </w:r>
    </w:p>
    <w:p>
      <w:pPr>
        <w:pStyle w:val="ListParagraph"/>
        <w:numPr>
          <w:ilvl w:val="0"/>
          <w:numId w:val="3"/>
        </w:numPr>
        <w:spacing w:after="40" w:before="40"/>
      </w:pPr>
      <w:r>
        <w:rPr>
          <w:rFonts w:ascii="Arial" w:cs="Arial" w:eastAsia="Arial" w:hAnsi="Arial"/>
          <w:color w:val="374151"/>
          <w:sz w:val="22"/>
          <w:szCs w:val="22"/>
        </w:rPr>
        <w:t xml:space="preserve">Reach out directly to professional communities — Reddit (r/PersonalFinanceCanada, r/ImmigrationCanada), Facebook immigrant groups, LinkedIn professional groups.</w:t>
      </w:r>
    </w:p>
    <w:p>
      <w:pPr>
        <w:pStyle w:val="ListParagraph"/>
        <w:numPr>
          <w:ilvl w:val="0"/>
          <w:numId w:val="3"/>
        </w:numPr>
        <w:spacing w:after="40" w:before="40"/>
      </w:pPr>
      <w:r>
        <w:rPr>
          <w:rFonts w:ascii="Arial" w:cs="Arial" w:eastAsia="Arial" w:hAnsi="Arial"/>
          <w:color w:val="374151"/>
          <w:sz w:val="22"/>
          <w:szCs w:val="22"/>
        </w:rPr>
        <w:t xml:space="preserve">Incentivize with reciprocity: users who submit unlock the full aggregated result set for their occupation-city combination.</w:t>
      </w:r>
    </w:p>
    <w:p>
      <w:pPr>
        <w:pStyle w:val="ListParagraph"/>
        <w:numPr>
          <w:ilvl w:val="0"/>
          <w:numId w:val="3"/>
        </w:numPr>
        <w:spacing w:after="40" w:before="40"/>
      </w:pPr>
      <w:r>
        <w:rPr>
          <w:rFonts w:ascii="Arial" w:cs="Arial" w:eastAsia="Arial" w:hAnsi="Arial"/>
          <w:color w:val="374151"/>
          <w:sz w:val="22"/>
          <w:szCs w:val="22"/>
        </w:rPr>
        <w:t xml:space="preserve">Target 50+ submissions per occupation-city pair before displaying aggregated results publicly. Below this threshold, display "Not enough data yet" with a submission prompt.</w:t>
      </w:r>
    </w:p>
    <w:p>
      <w:pPr>
        <w:pStyle w:val="ListParagraph"/>
        <w:numPr>
          <w:ilvl w:val="0"/>
          <w:numId w:val="3"/>
        </w:numPr>
        <w:spacing w:after="40" w:before="40"/>
      </w:pPr>
      <w:r>
        <w:rPr>
          <w:rFonts w:ascii="Arial" w:cs="Arial" w:eastAsia="Arial" w:hAnsi="Arial"/>
          <w:color w:val="374151"/>
          <w:sz w:val="22"/>
          <w:szCs w:val="22"/>
        </w:rPr>
        <w:t xml:space="preserve">Once 2 cities x 4 occupations reach threshold, expand to the next tier.</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3.4  Submission Incentive Model</w:t>
      </w:r>
    </w:p>
    <w:p>
      <w:pPr>
        <w:spacing w:after="140" w:before="0"/>
      </w:pPr>
      <w:r>
        <w:rPr>
          <w:rFonts w:ascii="Arial" w:cs="Arial" w:eastAsia="Arial" w:hAnsi="Arial"/>
          <w:b w:val="false"/>
          <w:bCs w:val="false"/>
          <w:color w:val="374151"/>
          <w:sz w:val="22"/>
          <w:szCs w:val="22"/>
        </w:rPr>
        <w:t xml:space="preserve">The core incentive is reciprocity, not payment. "You share your experience; you unlock others' experiences."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No submission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Access to Lakive's public data and calculator tools. No access to aggregated community submissions.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Submitted (any combo)</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Full access to aggregated submission data for all occupation-city combinations.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Power submitter (3+ combos)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Badge, early access to new city launches, special community recognition.</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3.5  Data Quality Controls</w:t>
      </w:r>
    </w:p>
    <w:p>
      <w:pPr>
        <w:pStyle w:val="ListParagraph"/>
        <w:numPr>
          <w:ilvl w:val="0"/>
          <w:numId w:val="2"/>
        </w:numPr>
        <w:spacing w:after="40" w:before="40"/>
      </w:pPr>
      <w:r>
        <w:rPr>
          <w:rFonts w:ascii="Arial" w:cs="Arial" w:eastAsia="Arial" w:hAnsi="Arial"/>
          <w:color w:val="374151"/>
          <w:sz w:val="22"/>
          <w:szCs w:val="22"/>
        </w:rPr>
        <w:t xml:space="preserve">IP rate limiting (3 submissions per IP per 24 hours) to prevent flooding.</w:t>
      </w:r>
    </w:p>
    <w:p>
      <w:pPr>
        <w:pStyle w:val="ListParagraph"/>
        <w:numPr>
          <w:ilvl w:val="0"/>
          <w:numId w:val="2"/>
        </w:numPr>
        <w:spacing w:after="40" w:before="40"/>
      </w:pPr>
      <w:r>
        <w:rPr>
          <w:rFonts w:ascii="Arial" w:cs="Arial" w:eastAsia="Arial" w:hAnsi="Arial"/>
          <w:color w:val="374151"/>
          <w:sz w:val="22"/>
          <w:szCs w:val="22"/>
        </w:rPr>
        <w:t xml:space="preserve">Honeypot fields for basic bot detection.</w:t>
      </w:r>
    </w:p>
    <w:p>
      <w:pPr>
        <w:pStyle w:val="ListParagraph"/>
        <w:numPr>
          <w:ilvl w:val="0"/>
          <w:numId w:val="2"/>
        </w:numPr>
        <w:spacing w:after="40" w:before="40"/>
      </w:pPr>
      <w:r>
        <w:rPr>
          <w:rFonts w:ascii="Arial" w:cs="Arial" w:eastAsia="Arial" w:hAnsi="Arial"/>
          <w:color w:val="374151"/>
          <w:sz w:val="22"/>
          <w:szCs w:val="22"/>
        </w:rPr>
        <w:t xml:space="preserve">Outlier detection: submissions where stated income is implausible for stated occupation are flagged for review.</w:t>
      </w:r>
    </w:p>
    <w:p>
      <w:pPr>
        <w:pStyle w:val="ListParagraph"/>
        <w:numPr>
          <w:ilvl w:val="0"/>
          <w:numId w:val="2"/>
        </w:numPr>
        <w:spacing w:after="40" w:before="40"/>
      </w:pPr>
      <w:r>
        <w:rPr>
          <w:rFonts w:ascii="Arial" w:cs="Arial" w:eastAsia="Arial" w:hAnsi="Arial"/>
          <w:color w:val="374151"/>
          <w:sz w:val="22"/>
          <w:szCs w:val="22"/>
        </w:rPr>
        <w:t xml:space="preserve">Moderation queue for free-text field — automated profanity filter plus periodic human review.</w:t>
      </w:r>
    </w:p>
    <w:p>
      <w:pPr>
        <w:pStyle w:val="ListParagraph"/>
        <w:numPr>
          <w:ilvl w:val="0"/>
          <w:numId w:val="2"/>
        </w:numPr>
        <w:spacing w:after="40" w:before="40"/>
      </w:pPr>
      <w:r>
        <w:rPr>
          <w:rFonts w:ascii="Arial" w:cs="Arial" w:eastAsia="Arial" w:hAnsi="Arial"/>
          <w:color w:val="374151"/>
          <w:sz w:val="22"/>
          <w:szCs w:val="22"/>
        </w:rPr>
        <w:t xml:space="preserve">Long-term: email verification for submission trust score.</w:t>
      </w:r>
    </w:p>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4.  Dimension Prioritization</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4.1  The Problem with Doing Everything</w:t>
      </w:r>
    </w:p>
    <w:p>
      <w:pPr>
        <w:spacing w:after="140" w:before="0"/>
      </w:pPr>
      <w:r>
        <w:rPr>
          <w:rFonts w:ascii="Arial" w:cs="Arial" w:eastAsia="Arial" w:hAnsi="Arial"/>
          <w:b w:val="false"/>
          <w:bCs w:val="false"/>
          <w:color w:val="374151"/>
          <w:sz w:val="22"/>
          <w:szCs w:val="22"/>
        </w:rPr>
        <w:t xml:space="preserve">A city has dozens of measurable dimensions. Building all of them simultaneously produces mediocrity across the board. The right approach is deliberate prioritization — anchor user trust on a few dimensions done brilliantly, then expand.</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4.2  The Three-Tier Model</w:t>
      </w:r>
    </w:p>
    <w:p>
      <w:pPr>
        <w:spacing w:after="120" w:before="0"/>
      </w:pPr>
      <w:r>
        <w:t xml:space="preserve"/>
      </w:r>
    </w:p>
    <w:p>
      <w:pPr>
        <w:pStyle w:val="Heading3"/>
        <w:spacing w:after="80" w:before="200"/>
      </w:pPr>
      <w:r>
        <w:rPr>
          <w:rFonts w:ascii="Arial" w:cs="Arial" w:eastAsia="Arial" w:hAnsi="Arial"/>
          <w:b/>
          <w:bCs/>
          <w:color w:val="1A6B5A"/>
          <w:sz w:val="24"/>
          <w:szCs w:val="24"/>
        </w:rPr>
        <w:t xml:space="preserve">Tier 1: Core (Build Now, Build Well)</w:t>
      </w:r>
    </w:p>
    <w:p>
      <w:pPr>
        <w:spacing w:after="140" w:before="0"/>
      </w:pPr>
      <w:r>
        <w:rPr>
          <w:rFonts w:ascii="Arial" w:cs="Arial" w:eastAsia="Arial" w:hAnsi="Arial"/>
          <w:b w:val="false"/>
          <w:bCs w:val="false"/>
          <w:color w:val="374151"/>
          <w:sz w:val="22"/>
          <w:szCs w:val="22"/>
        </w:rPr>
        <w:t xml:space="preserve">These dimensions are the primary reason someone visits Lakive. They must be accurate, current, and occupation-specific. Failure here breaks trust permanently.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Housing Affordability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Home Price-to-Income Years (HPI), Rent-to-Income Ratio (RPI). Occupation-specific. Updated as frequently as data allows. This is the most emotionally resonant question: "Can I afford to live here?"</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Income &amp; Job Market</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Median salary by occupation, salary percentile distribution, job posting volume, demand trend, top employers. Sourced from StatCan, BLS, Indeed.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Tax Environment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Effective marginal rate by income band, province-level rules, key differences (e.g., no state income tax in Washington, high marginal rate in California). CTA to calculator.</w:t>
            </w:r>
          </w:p>
        </w:tc>
      </w:tr>
    </w:tbl>
    <w:p>
      <w:pPr>
        <w:spacing w:after="120" w:before="0"/>
      </w:pPr>
      <w:r>
        <w:t xml:space="preserve"/>
      </w:r>
    </w:p>
    <w:p>
      <w:pPr>
        <w:pStyle w:val="Heading3"/>
        <w:spacing w:after="80" w:before="200"/>
      </w:pPr>
      <w:r>
        <w:rPr>
          <w:rFonts w:ascii="Arial" w:cs="Arial" w:eastAsia="Arial" w:hAnsi="Arial"/>
          <w:b/>
          <w:bCs/>
          <w:color w:val="1A6B5A"/>
          <w:sz w:val="24"/>
          <w:szCs w:val="24"/>
        </w:rPr>
        <w:t xml:space="preserve">Tier 2: Context (Build for Key Occupations and Cities)</w:t>
      </w:r>
    </w:p>
    <w:p>
      <w:pPr>
        <w:spacing w:after="140" w:before="0"/>
      </w:pPr>
      <w:r>
        <w:rPr>
          <w:rFonts w:ascii="Arial" w:cs="Arial" w:eastAsia="Arial" w:hAnsi="Arial"/>
          <w:b w:val="false"/>
          <w:bCs w:val="false"/>
          <w:color w:val="374151"/>
          <w:sz w:val="22"/>
          <w:szCs w:val="22"/>
        </w:rPr>
        <w:t xml:space="preserve">These dimensions matter deeply for specific user types. Build them progressively, prioritizing the occupations and cities where they are most relevant.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Education Quality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Most critical for families. School district ratings, K-12 public school performance, university access. Priority for cities with high family immigration.</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Healthcare Access</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Critical for nurses, physicians, and families. Wait times, specialist availability, hospital density.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Transit Infrastructure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Critical for car-free households and immigrants early in their financial journey. Commute time, transit coverage, walkability score.</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Public Safety</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Sensitive but important. Use neighbourhood-level crime indices where available. Frame carefully — statistical risk, not perception-only.</w:t>
            </w:r>
          </w:p>
        </w:tc>
      </w:tr>
    </w:tbl>
    <w:p>
      <w:pPr>
        <w:spacing w:after="120" w:before="0"/>
      </w:pPr>
      <w:r>
        <w:t xml:space="preserve"/>
      </w:r>
    </w:p>
    <w:p>
      <w:pPr>
        <w:pStyle w:val="Heading3"/>
        <w:spacing w:after="80" w:before="200"/>
      </w:pPr>
      <w:r>
        <w:rPr>
          <w:rFonts w:ascii="Arial" w:cs="Arial" w:eastAsia="Arial" w:hAnsi="Arial"/>
          <w:b/>
          <w:bCs/>
          <w:color w:val="1A6B5A"/>
          <w:sz w:val="24"/>
          <w:szCs w:val="24"/>
        </w:rPr>
        <w:t xml:space="preserve">Tier 3: Background (Light Data, Qualitative)</w:t>
      </w:r>
    </w:p>
    <w:p>
      <w:pPr>
        <w:spacing w:after="140" w:before="0"/>
      </w:pPr>
      <w:r>
        <w:rPr>
          <w:rFonts w:ascii="Arial" w:cs="Arial" w:eastAsia="Arial" w:hAnsi="Arial"/>
          <w:b w:val="false"/>
          <w:bCs w:val="false"/>
          <w:color w:val="374151"/>
          <w:sz w:val="22"/>
          <w:szCs w:val="22"/>
        </w:rPr>
        <w:t xml:space="preserve">These dimensions add richness but do not drive primary decisions. Sourced from community submissions and qualitative notes rather than heavy data pipelines.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Community &amp; Culture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Ethnic community presence, cultural festivals, language access. Most powerful as user-submitted data.</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Climate &amp; Environment</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Temperature range, precipitation, air quality, green space. Display as comparative context, not a ranking.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Lifestyle &amp; Values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Cost of dining out, fitness infrastructure, arts access, nightlife. Useful for the mid-career professional reassessing quality of life.</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4.3  Prioritization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The Rule</w:t>
            </w:r>
          </w:p>
          <w:p>
            <w:pPr>
              <w:spacing w:after="0" w:before="0"/>
            </w:pPr>
            <w:r>
              <w:rPr>
                <w:rFonts w:ascii="Arial" w:cs="Arial" w:eastAsia="Arial" w:hAnsi="Arial"/>
                <w:color w:val="374151"/>
                <w:sz w:val="21"/>
                <w:szCs w:val="21"/>
              </w:rPr>
              <w:t xml:space="preserve">Before adding a new dimension, ask: (1) Does this change what city a user would choose? (2) Can we source reliable, occupation-relevant data for it? (3) Does it serve the Tier 1 user first? If the answer to any is "no," it is a Tier 3 dimension. Build Tier 1 brilliantly before expanding.</w:t>
            </w:r>
          </w:p>
        </w:tc>
      </w:tr>
    </w:tbl>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5.  Commercial Path</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5.1  The Two-Engine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Engine 1: C-End Trust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Free, high-quality tools for individual users. Builds audience, organic search rankings, backlinks, brand authority, and — most importantly — structured submission data. The C-end does not monetize directly. It builds the asset that makes B2B possible.</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Engine 2: B2B Monetization</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Paid products sold to institutions that benefit from talent attraction: cities, economic development agencies, employer relocation teams, immigration law firms. B2B monetizes the trust and data the C-end generates.</w:t>
            </w:r>
          </w:p>
        </w:tc>
      </w:tr>
    </w:tbl>
    <w:p>
      <w:pPr>
        <w:spacing w:after="120" w:before="0"/>
      </w:pPr>
      <w:r>
        <w:t xml:space="preserve"/>
      </w:r>
    </w:p>
    <w:p>
      <w:pPr>
        <w:spacing w:after="140" w:before="0"/>
      </w:pPr>
      <w:r>
        <w:rPr>
          <w:rFonts w:ascii="Arial" w:cs="Arial" w:eastAsia="Arial" w:hAnsi="Arial"/>
          <w:b w:val="false"/>
          <w:bCs w:val="false"/>
          <w:color w:val="374151"/>
          <w:sz w:val="22"/>
          <w:szCs w:val="22"/>
        </w:rPr>
        <w:t xml:space="preserve">The sequence matters: Build user trust first. Leverage that trust commercially second. Selling to cities before building user trust is backwards. Cities buy Lakive because their target audience — skilled workers — trusts Lakive's data. Without the C-end audience, there is no product to sell.</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5.2  B2B Target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Client Type</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Why They Pay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City Economic Development Agencies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Mandated to attract skilled workers and employers. They currently spend on generic job fairs and immigration marketing. Lakive offers them a data-backed audience of exactly the people they want to reach: skilled workers actively evaluating where to move.</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Provincial Immigration Programs</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Provinces actively recruit nominees for immigration streams. Lakive's audience matches this exactly. (Example: Manitoba PNP, Nova Scotia Nominee Program.)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Employer Relocation Teams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Large employers assist employees with relocation decisions. Lakive can be a licensed tool for HR teams evaluating cities on behalf of relocating employees.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Immigration Law Firms</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High-volume consultants advising clients on Canadian or US city selection. A white-label or partner version of the Lakive calculator could be a value-added service for their clients.</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5.3  Three B2B Light Products</w:t>
      </w:r>
    </w:p>
    <w:p>
      <w:pPr>
        <w:pStyle w:val="Heading3"/>
        <w:spacing w:after="80" w:before="200"/>
      </w:pPr>
      <w:r>
        <w:rPr>
          <w:rFonts w:ascii="Arial" w:cs="Arial" w:eastAsia="Arial" w:hAnsi="Arial"/>
          <w:b/>
          <w:bCs/>
          <w:color w:val="1A6B5A"/>
          <w:sz w:val="24"/>
          <w:szCs w:val="24"/>
        </w:rPr>
        <w:t xml:space="preserve">Product A: City Talent Attraction Report</w:t>
      </w:r>
    </w:p>
    <w:p>
      <w:pPr>
        <w:spacing w:after="140" w:before="0"/>
      </w:pPr>
      <w:r>
        <w:rPr>
          <w:rFonts w:ascii="Arial" w:cs="Arial" w:eastAsia="Arial" w:hAnsi="Arial"/>
          <w:b w:val="false"/>
          <w:bCs w:val="false"/>
          <w:color w:val="374151"/>
          <w:sz w:val="22"/>
          <w:szCs w:val="22"/>
        </w:rPr>
        <w:t xml:space="preserve">A quarterly or annual report showing how a specific city is perceived by skilled workers across Lakive's occupation taxonomy. Key metrics: affordability score by occupation, job demand signals, search traffic from target talent pools, competitive positioning vs. peer cities. Pricing: $3,000-$15,000/year depending on city size and depth.</w:t>
      </w:r>
    </w:p>
    <w:p>
      <w:pPr>
        <w:spacing w:after="120" w:before="0"/>
      </w:pPr>
      <w:r>
        <w:t xml:space="preserve"/>
      </w:r>
    </w:p>
    <w:p>
      <w:pPr>
        <w:pStyle w:val="Heading3"/>
        <w:spacing w:after="80" w:before="200"/>
      </w:pPr>
      <w:r>
        <w:rPr>
          <w:rFonts w:ascii="Arial" w:cs="Arial" w:eastAsia="Arial" w:hAnsi="Arial"/>
          <w:b/>
          <w:bCs/>
          <w:color w:val="1A6B5A"/>
          <w:sz w:val="24"/>
          <w:szCs w:val="24"/>
        </w:rPr>
        <w:t xml:space="preserve">Product B: Occupation City Comparison Report</w:t>
      </w:r>
    </w:p>
    <w:p>
      <w:pPr>
        <w:spacing w:after="140" w:before="0"/>
      </w:pPr>
      <w:r>
        <w:rPr>
          <w:rFonts w:ascii="Arial" w:cs="Arial" w:eastAsia="Arial" w:hAnsi="Arial"/>
          <w:b w:val="false"/>
          <w:bCs w:val="false"/>
          <w:color w:val="374151"/>
          <w:sz w:val="22"/>
          <w:szCs w:val="22"/>
        </w:rPr>
        <w:t xml:space="preserve">Custom report for an employer or agency: "Here is how City X compares to City Y and City Z for attracting [occupation]." Uses Lakive's full dataset plus aggregated submission data. Pricing: $2,000-$8,000 per report, project-based.</w:t>
      </w:r>
    </w:p>
    <w:p>
      <w:pPr>
        <w:spacing w:after="120" w:before="0"/>
      </w:pPr>
      <w:r>
        <w:t xml:space="preserve"/>
      </w:r>
    </w:p>
    <w:p>
      <w:pPr>
        <w:pStyle w:val="Heading3"/>
        <w:spacing w:after="80" w:before="200"/>
      </w:pPr>
      <w:r>
        <w:rPr>
          <w:rFonts w:ascii="Arial" w:cs="Arial" w:eastAsia="Arial" w:hAnsi="Arial"/>
          <w:b/>
          <w:bCs/>
          <w:color w:val="1A6B5A"/>
          <w:sz w:val="24"/>
          <w:szCs w:val="24"/>
        </w:rPr>
        <w:t xml:space="preserve">Product C: White-Label City Calculator</w:t>
      </w:r>
    </w:p>
    <w:p>
      <w:pPr>
        <w:spacing w:after="140" w:before="0"/>
      </w:pPr>
      <w:r>
        <w:rPr>
          <w:rFonts w:ascii="Arial" w:cs="Arial" w:eastAsia="Arial" w:hAnsi="Arial"/>
          <w:b w:val="false"/>
          <w:bCs w:val="false"/>
          <w:color w:val="374151"/>
          <w:sz w:val="22"/>
          <w:szCs w:val="22"/>
        </w:rPr>
        <w:t xml:space="preserve">Lakive's affordability calculator embedded within a city's own talent attraction website, immigration consultant's portal, or employer relocation tool. Branded "Powered by Lakive" or fully white-labeled. Pricing: $5,000-$20,000/year depending on usage volume.</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5.4  The Brand Independence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Non-Negotiable</w:t>
            </w:r>
          </w:p>
          <w:p>
            <w:pPr>
              <w:spacing w:after="0" w:before="0"/>
            </w:pPr>
            <w:r>
              <w:rPr>
                <w:rFonts w:ascii="Arial" w:cs="Arial" w:eastAsia="Arial" w:hAnsi="Arial"/>
                <w:color w:val="374151"/>
                <w:sz w:val="21"/>
                <w:szCs w:val="21"/>
              </w:rPr>
              <w:t xml:space="preserve">Paying cities or clients cannot purchase better scores. They cannot request removal of unfavorable data. They cannot influence the algorithmic methodology. They can buy audience access, branded reports, and licensed tools — not the right to manipulate what Lakive says about them.</w:t>
            </w:r>
          </w:p>
        </w:tc>
      </w:tr>
    </w:tbl>
    <w:p>
      <w:pPr>
        <w:spacing w:after="120" w:before="0"/>
      </w:pPr>
      <w:r>
        <w:t xml:space="preserve"/>
      </w:r>
    </w:p>
    <w:p>
      <w:pPr>
        <w:spacing w:after="140" w:before="0"/>
      </w:pPr>
      <w:r>
        <w:rPr>
          <w:rFonts w:ascii="Arial" w:cs="Arial" w:eastAsia="Arial" w:hAnsi="Arial"/>
          <w:b w:val="false"/>
          <w:bCs w:val="false"/>
          <w:color w:val="374151"/>
          <w:sz w:val="22"/>
          <w:szCs w:val="22"/>
        </w:rPr>
        <w:t xml:space="preserve">This principle is existential. Glassdoor's credibility rests on the fact that a company cannot buy a 4.5-star rating. The moment that changes, the product is worthless. Lakive's credibility rests on the same foundation.</w:t>
      </w:r>
    </w:p>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6.  12-Month Execution Focus</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6.1  Strategic Intent</w:t>
      </w:r>
    </w:p>
    <w:p>
      <w:pPr>
        <w:spacing w:after="140" w:before="0"/>
      </w:pPr>
      <w:r>
        <w:rPr>
          <w:rFonts w:ascii="Arial" w:cs="Arial" w:eastAsia="Arial" w:hAnsi="Arial"/>
          <w:b w:val="false"/>
          <w:bCs w:val="false"/>
          <w:color w:val="374151"/>
          <w:sz w:val="22"/>
          <w:szCs w:val="22"/>
        </w:rPr>
        <w:t xml:space="preserve">The next 12 months are about establishing Lakive as the most trusted city intelligence tool for skilled immigrants and cross-city relocators in North America. Everything built in this period should compound — every user who submits experience data makes the product better; every guide page indexed improves organic search; every B2B conversation proves the commercial model.</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6.2  Phase Breakdown</w:t>
      </w:r>
    </w:p>
    <w:p>
      <w:pPr>
        <w:spacing w:after="120" w:before="0"/>
      </w:pPr>
      <w:r>
        <w:t xml:space="preserve"/>
      </w:r>
    </w:p>
    <w:p>
      <w:pPr>
        <w:pStyle w:val="Heading3"/>
        <w:spacing w:after="80" w:before="200"/>
      </w:pPr>
      <w:r>
        <w:rPr>
          <w:rFonts w:ascii="Arial" w:cs="Arial" w:eastAsia="Arial" w:hAnsi="Arial"/>
          <w:b/>
          <w:bCs/>
          <w:color w:val="1A6B5A"/>
          <w:sz w:val="24"/>
          <w:szCs w:val="24"/>
        </w:rPr>
        <w:t xml:space="preserve">Phase 1 (Months 1-3): Platform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Multi-country stability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Fully launched: 5 Canadian cities + 4 US cities (Seattle, San Francisco, New York, Boston). All 270 guide pages indexed. Data accuracy audited.</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City Experience Submission v1</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Build structured submission form. Start with Toronto + Vancouver, 4 occupations. Target 50+ submissions per pair before displaying aggregated data.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Cron &amp; reporting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Monthly subscriber reports firing reliably. Zero missed sends.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SEO baseline</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All 270 guide pages indexed. Sitemap submitted. Core Web Vitals passing. Monitor ranking for key occupation-city queries.</w:t>
            </w:r>
          </w:p>
        </w:tc>
      </w:tr>
    </w:tbl>
    <w:p>
      <w:pPr>
        <w:spacing w:after="120" w:before="0"/>
      </w:pPr>
      <w:r>
        <w:t xml:space="preserve"/>
      </w:r>
    </w:p>
    <w:p>
      <w:pPr>
        <w:pStyle w:val="Heading3"/>
        <w:spacing w:after="80" w:before="200"/>
      </w:pPr>
      <w:r>
        <w:rPr>
          <w:rFonts w:ascii="Arial" w:cs="Arial" w:eastAsia="Arial" w:hAnsi="Arial"/>
          <w:b/>
          <w:bCs/>
          <w:color w:val="1A6B5A"/>
          <w:sz w:val="24"/>
          <w:szCs w:val="24"/>
        </w:rPr>
        <w:t xml:space="preserve">Phase 2 (Months 4-6): Data Moat &amp; Product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Submission cold start campaign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Targeted outreach to Reddit, immigrant Facebook groups, LinkedIn. Goal: 200+ structured submissions across first 8 occupation-city pairs.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Aggregated insights display</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Once threshold met, display aggregated community data on guide pages ("X% of respondents say..."). This differentiates Lakive from any data aggregator.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Tier 2 dimension expansion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Add education and healthcare data for Canadian cities first.</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Canadian city expansion</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Add 3-5 more Canadian cities (Calgary, Edmonton, Ottawa, Halifax, Winnipeg).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Email subscriber growth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Monthly city reports as acquisition hook. Target 500+ active subscribers.</w:t>
            </w:r>
          </w:p>
        </w:tc>
      </w:tr>
    </w:tbl>
    <w:p>
      <w:pPr>
        <w:spacing w:after="120" w:before="0"/>
      </w:pPr>
      <w:r>
        <w:t xml:space="preserve"/>
      </w:r>
    </w:p>
    <w:p>
      <w:pPr>
        <w:pStyle w:val="Heading3"/>
        <w:spacing w:after="80" w:before="200"/>
      </w:pPr>
      <w:r>
        <w:rPr>
          <w:rFonts w:ascii="Arial" w:cs="Arial" w:eastAsia="Arial" w:hAnsi="Arial"/>
          <w:b/>
          <w:bCs/>
          <w:color w:val="1A6B5A"/>
          <w:sz w:val="24"/>
          <w:szCs w:val="24"/>
        </w:rPr>
        <w:t xml:space="preserve">Phase 3 (Months 7-9): B2B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B2B product v1</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Build City Talent Attraction Report template. Produce first report for 1-2 pilot cities (partially subsidized to get case study).</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Agency outreach</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Identify 20 target agencies (10 Canadian, 10 US). Send personalized outreach with pilot report as proof of concept.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Employer pilot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Approach 2-3 mid-size employers with relocation programs. Offer white-label calculator trial.</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Methodology page</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Publish full open methodology page on Lakive. Builds trust with users and B2B clients.</w:t>
            </w:r>
          </w:p>
        </w:tc>
      </w:tr>
    </w:tbl>
    <w:p>
      <w:pPr>
        <w:spacing w:after="120" w:before="0"/>
      </w:pPr>
      <w:r>
        <w:t xml:space="preserve"/>
      </w:r>
    </w:p>
    <w:p>
      <w:pPr>
        <w:pStyle w:val="Heading3"/>
        <w:spacing w:after="80" w:before="200"/>
      </w:pPr>
      <w:r>
        <w:rPr>
          <w:rFonts w:ascii="Arial" w:cs="Arial" w:eastAsia="Arial" w:hAnsi="Arial"/>
          <w:b/>
          <w:bCs/>
          <w:color w:val="1A6B5A"/>
          <w:sz w:val="24"/>
          <w:szCs w:val="24"/>
        </w:rPr>
        <w:t xml:space="preserve">Phase 4 (Months 10-12): Scale &amp; Systematize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Initiative</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International research</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Research UK/Australia/Europe data availability. Define criteria for next international region. Do not build yet.</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B2B first close</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Target first paying B2B client by month 12. One deal at any price validates the model.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Submission milestone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Reach 1,000+ total submissions. Begin extracting statistically meaningful aggregate insights.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Onboarding flow</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"Tell Lakive about yourself" — 3-4 question onboarding that personalizes the initial city recommendations.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Annual strategy review</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Revisit this brief. Update dimension priorities and commercial focus based on actual user behavior data.</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6.3  What NOT to Do in the Next 12 Months</w:t>
      </w:r>
    </w:p>
    <w:p>
      <w:pPr>
        <w:pStyle w:val="ListParagraph"/>
        <w:numPr>
          <w:ilvl w:val="0"/>
          <w:numId w:val="2"/>
        </w:numPr>
        <w:spacing w:after="40" w:before="40"/>
      </w:pPr>
      <w:r>
        <w:rPr>
          <w:rFonts w:ascii="Arial" w:cs="Arial" w:eastAsia="Arial" w:hAnsi="Arial"/>
          <w:color w:val="374151"/>
          <w:sz w:val="22"/>
          <w:szCs w:val="22"/>
        </w:rPr>
        <w:t xml:space="preserve">Do not build a mobile app. Web-first until organic search is dominant.</w:t>
      </w:r>
    </w:p>
    <w:p>
      <w:pPr>
        <w:pStyle w:val="ListParagraph"/>
        <w:numPr>
          <w:ilvl w:val="0"/>
          <w:numId w:val="2"/>
        </w:numPr>
        <w:spacing w:after="40" w:before="40"/>
      </w:pPr>
      <w:r>
        <w:rPr>
          <w:rFonts w:ascii="Arial" w:cs="Arial" w:eastAsia="Arial" w:hAnsi="Arial"/>
          <w:color w:val="374151"/>
          <w:sz w:val="22"/>
          <w:szCs w:val="22"/>
        </w:rPr>
        <w:t xml:space="preserve">Do not launch more than 4 new countries before existing cities reach data depth.</w:t>
      </w:r>
    </w:p>
    <w:p>
      <w:pPr>
        <w:pStyle w:val="ListParagraph"/>
        <w:numPr>
          <w:ilvl w:val="0"/>
          <w:numId w:val="2"/>
        </w:numPr>
        <w:spacing w:after="40" w:before="40"/>
      </w:pPr>
      <w:r>
        <w:rPr>
          <w:rFonts w:ascii="Arial" w:cs="Arial" w:eastAsia="Arial" w:hAnsi="Arial"/>
          <w:color w:val="374151"/>
          <w:sz w:val="22"/>
          <w:szCs w:val="22"/>
        </w:rPr>
        <w:t xml:space="preserve">Do not add a paid individual tier before B2B is validated. Monetizing the C-end too early kills trust.</w:t>
      </w:r>
    </w:p>
    <w:p>
      <w:pPr>
        <w:pStyle w:val="ListParagraph"/>
        <w:numPr>
          <w:ilvl w:val="0"/>
          <w:numId w:val="2"/>
        </w:numPr>
        <w:spacing w:after="40" w:before="40"/>
      </w:pPr>
      <w:r>
        <w:rPr>
          <w:rFonts w:ascii="Arial" w:cs="Arial" w:eastAsia="Arial" w:hAnsi="Arial"/>
          <w:color w:val="374151"/>
          <w:sz w:val="22"/>
          <w:szCs w:val="22"/>
        </w:rPr>
        <w:t xml:space="preserve">Do not run paid advertising before organic search is working. CAC on paid is prohibitive for a pre-revenue product.</w:t>
      </w:r>
    </w:p>
    <w:p>
      <w:pPr>
        <w:pStyle w:val="ListParagraph"/>
        <w:numPr>
          <w:ilvl w:val="0"/>
          <w:numId w:val="2"/>
        </w:numPr>
        <w:spacing w:after="40" w:before="40"/>
      </w:pPr>
      <w:r>
        <w:rPr>
          <w:rFonts w:ascii="Arial" w:cs="Arial" w:eastAsia="Arial" w:hAnsi="Arial"/>
          <w:color w:val="374151"/>
          <w:sz w:val="22"/>
          <w:szCs w:val="22"/>
        </w:rPr>
        <w:t xml:space="preserve">Do not build community features (forums, DMs, profiles). Maintain focus on structured data and submissions.</w:t>
      </w:r>
    </w:p>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7.  Brand Independence Principles</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7.1  Why Independence Is a Product Feature</w:t>
      </w:r>
    </w:p>
    <w:p>
      <w:pPr>
        <w:spacing w:after="140" w:before="0"/>
      </w:pPr>
      <w:r>
        <w:rPr>
          <w:rFonts w:ascii="Arial" w:cs="Arial" w:eastAsia="Arial" w:hAnsi="Arial"/>
          <w:b w:val="false"/>
          <w:bCs w:val="false"/>
          <w:color w:val="374151"/>
          <w:sz w:val="22"/>
          <w:szCs w:val="22"/>
        </w:rPr>
        <w:t xml:space="preserve">The most dangerous failure mode in the city intelligence space is capture — when the platform that should be objective becomes a mouthpiece for the entities it reviews. This has happened to city ranking publications that accept city sponsorships and employer review sites that dilute negative signals through paid tools.</w:t>
      </w:r>
    </w:p>
    <w:p>
      <w:pPr>
        <w:spacing w:after="120" w:before="0"/>
      </w:pPr>
      <w:r>
        <w:t xml:space="preserve"/>
      </w:r>
    </w:p>
    <w:p>
      <w:pPr>
        <w:spacing w:after="140" w:before="0"/>
      </w:pPr>
      <w:r>
        <w:rPr>
          <w:rFonts w:ascii="Arial" w:cs="Arial" w:eastAsia="Arial" w:hAnsi="Arial"/>
          <w:b w:val="false"/>
          <w:bCs w:val="false"/>
          <w:color w:val="374151"/>
          <w:sz w:val="22"/>
          <w:szCs w:val="22"/>
        </w:rPr>
        <w:t xml:space="preserve">Independence is not just an ethical commitment. It is a product feature. Users trust Lakive precisely because they believe the data cannot be purchased. The moment that belief breaks, the product is worthless.</w:t>
      </w:r>
    </w:p>
    <w:p>
      <w:pPr>
        <w:spacing w:after="120" w:before="0"/>
      </w:pPr>
      <w:r>
        <w:t xml:space="preserve"/>
      </w:r>
    </w:p>
    <w:p>
      <w:pPr>
        <w:pStyle w:val="Heading2"/>
        <w:spacing w:after="120" w:before="280"/>
      </w:pPr>
      <w:r>
        <w:rPr>
          <w:rFonts w:ascii="Arial" w:cs="Arial" w:eastAsia="Arial" w:hAnsi="Arial"/>
          <w:b/>
          <w:bCs/>
          <w:color w:val="374151"/>
          <w:sz w:val="28"/>
          <w:szCs w:val="28"/>
        </w:rPr>
        <w:t xml:space="preserve">7.2  The Four Pillars of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6560"/>
            <w:tcBorders>
              <w:top w:val="single" w:color="0F766E" w:sz="1"/>
              <w:left w:val="single" w:color="0F766E" w:sz="1"/>
              <w:bottom w:val="single" w:color="0F766E" w:sz="1"/>
              <w:right w:val="single" w:color="0F766E"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Open Methodology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Every formula, data source, and calculation method is published openly. Any user can replicate Lakive's numbers. Transparency is the defense against manipulation accusations.</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Sales-Editorial Separation</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The team responsible for B2B sales has no ability to alter data. Data methodology is controlled by a separate function. This wall must be enforced structurally, not just culturally.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Contractual Prohibition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B2B contracts explicitly state that Lakive's scores and data cannot be modified as a result of the commercial relationship. Clients pay for access to audience and reports — not favorable treatment.</w:t>
            </w:r>
          </w:p>
        </w:tc>
      </w:tr>
      <w:tr>
        <w:tc>
          <w:tcPr>
            <w:tcW w:type="dxa" w:w="28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Audit Trail</w:t>
            </w:r>
          </w:p>
        </w:tc>
        <w:tc>
          <w:tcPr>
            <w:tcW w:type="dxa" w:w="65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All data changes are logged with source and date. If a city's score improves or worsens, there is a clear data trail. This is available to any user who asks.</w:t>
            </w:r>
          </w:p>
        </w:tc>
      </w:tr>
    </w:tbl>
    <w:p>
      <w:pPr>
        <w:spacing w:after="120" w:before="0"/>
      </w:pPr>
      <w:r>
        <w:t xml:space="preserve"/>
      </w:r>
    </w:p>
    <w:p>
      <w:pPr>
        <w:pStyle w:val="Heading2"/>
        <w:spacing w:after="120" w:before="280"/>
      </w:pPr>
      <w:r>
        <w:rPr>
          <w:rFonts w:ascii="Arial" w:cs="Arial" w:eastAsia="Arial" w:hAnsi="Arial"/>
          <w:b/>
          <w:bCs/>
          <w:color w:val="374151"/>
          <w:sz w:val="28"/>
          <w:szCs w:val="28"/>
        </w:rPr>
        <w:t xml:space="preserve">7.3  Anti-Patterns to Avoid</w:t>
      </w:r>
    </w:p>
    <w:p>
      <w:pPr>
        <w:pStyle w:val="ListParagraph"/>
        <w:numPr>
          <w:ilvl w:val="0"/>
          <w:numId w:val="2"/>
        </w:numPr>
        <w:spacing w:after="40" w:before="40"/>
      </w:pPr>
      <w:r>
        <w:rPr>
          <w:rFonts w:ascii="Arial" w:cs="Arial" w:eastAsia="Arial" w:hAnsi="Arial"/>
          <w:color w:val="374151"/>
          <w:sz w:val="22"/>
          <w:szCs w:val="22"/>
        </w:rPr>
        <w:t xml:space="preserve">"Featured City" placements that imply a paid endorsement.</w:t>
      </w:r>
    </w:p>
    <w:p>
      <w:pPr>
        <w:pStyle w:val="ListParagraph"/>
        <w:numPr>
          <w:ilvl w:val="0"/>
          <w:numId w:val="2"/>
        </w:numPr>
        <w:spacing w:after="40" w:before="40"/>
      </w:pPr>
      <w:r>
        <w:rPr>
          <w:rFonts w:ascii="Arial" w:cs="Arial" w:eastAsia="Arial" w:hAnsi="Arial"/>
          <w:color w:val="374151"/>
          <w:sz w:val="22"/>
          <w:szCs w:val="22"/>
        </w:rPr>
        <w:t xml:space="preserve">Allowing paying cities to add "city response" text that appears alongside or dilutes unfavorable data.</w:t>
      </w:r>
    </w:p>
    <w:p>
      <w:pPr>
        <w:pStyle w:val="ListParagraph"/>
        <w:numPr>
          <w:ilvl w:val="0"/>
          <w:numId w:val="2"/>
        </w:numPr>
        <w:spacing w:after="40" w:before="40"/>
      </w:pPr>
      <w:r>
        <w:rPr>
          <w:rFonts w:ascii="Arial" w:cs="Arial" w:eastAsia="Arial" w:hAnsi="Arial"/>
          <w:color w:val="374151"/>
          <w:sz w:val="22"/>
          <w:szCs w:val="22"/>
        </w:rPr>
        <w:t xml:space="preserve">Changing the weighting of dimensions because a city complained about how their score was calculated.</w:t>
      </w:r>
    </w:p>
    <w:p>
      <w:pPr>
        <w:pStyle w:val="ListParagraph"/>
        <w:numPr>
          <w:ilvl w:val="0"/>
          <w:numId w:val="2"/>
        </w:numPr>
        <w:spacing w:after="40" w:before="40"/>
      </w:pPr>
      <w:r>
        <w:rPr>
          <w:rFonts w:ascii="Arial" w:cs="Arial" w:eastAsia="Arial" w:hAnsi="Arial"/>
          <w:color w:val="374151"/>
          <w:sz w:val="22"/>
          <w:szCs w:val="22"/>
        </w:rPr>
        <w:t xml:space="preserve">Soft-launching a "City Partner" badge that signals differentiated treatment.</w:t>
      </w:r>
    </w:p>
    <w:p>
      <w:pPr>
        <w:pStyle w:val="ListParagraph"/>
        <w:numPr>
          <w:ilvl w:val="0"/>
          <w:numId w:val="2"/>
        </w:numPr>
        <w:spacing w:after="40" w:before="40"/>
      </w:pPr>
      <w:r>
        <w:rPr>
          <w:rFonts w:ascii="Arial" w:cs="Arial" w:eastAsia="Arial" w:hAnsi="Arial"/>
          <w:color w:val="374151"/>
          <w:sz w:val="22"/>
          <w:szCs w:val="22"/>
        </w:rPr>
        <w:t xml:space="preserve">Offering cities the ability to suppress or archive old submission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The Guiding Principle</w:t>
            </w:r>
          </w:p>
          <w:p>
            <w:pPr>
              <w:spacing w:after="0" w:before="0"/>
            </w:pPr>
            <w:r>
              <w:rPr>
                <w:rFonts w:ascii="Arial" w:cs="Arial" w:eastAsia="Arial" w:hAnsi="Arial"/>
                <w:color w:val="374151"/>
                <w:sz w:val="21"/>
                <w:szCs w:val="21"/>
              </w:rPr>
              <w:t xml:space="preserve">A city can pay Lakive to tell its story to the right audience. A city cannot pay Lakive to change what story the data tells.</w:t>
            </w:r>
          </w:p>
        </w:tc>
      </w:tr>
    </w:tbl>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8.  Critical Risks &amp; Mitigations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Risk</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Likelihood</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Mitigation</w:t>
            </w:r>
          </w:p>
        </w:tc>
      </w:tr>
      <w:tr>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Data quality degradation (US cities)</w:t>
            </w:r>
          </w:p>
        </w:tc>
        <w:tc>
          <w:tcPr>
            <w:tcW w:type="dxa" w:w="2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Medium</w:t>
            </w:r>
          </w:p>
        </w:tc>
        <w:tc>
          <w:tcPr>
            <w:tcW w:type="dxa" w:w="43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Quarterly data audit. Flag stale data on pages. Cross-reference BLS, Zillow, Indeed.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Cold start on submissions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High</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Reciprocity model. Direct outreach to communities. Do not display empty section — show CTA instead.</w:t>
            </w:r>
          </w:p>
        </w:tc>
      </w:tr>
      <w:tr>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B2B sales cycle too long</w:t>
            </w:r>
          </w:p>
        </w:tc>
        <w:tc>
          <w:tcPr>
            <w:tcW w:type="dxa" w:w="2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Medium-High</w:t>
            </w:r>
          </w:p>
        </w:tc>
        <w:tc>
          <w:tcPr>
            <w:tcW w:type="dxa" w:w="43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Start with project-based reports (faster close) before annual subscriptions. City agencies move slowly.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Competitor replicates calculator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Low-Medium</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Structured submission data is the moat — cannot be replicated quickly. First-mover advantage is real.</w:t>
            </w:r>
          </w:p>
        </w:tc>
      </w:tr>
      <w:tr>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Brand independence perception failure</w:t>
            </w:r>
          </w:p>
        </w:tc>
        <w:tc>
          <w:tcPr>
            <w:tcW w:type="dxa" w:w="2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Low</w:t>
            </w:r>
          </w:p>
        </w:tc>
        <w:tc>
          <w:tcPr>
            <w:tcW w:type="dxa" w:w="436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374151"/>
                <w:sz w:val="21"/>
                <w:szCs w:val="21"/>
              </w:rPr>
              <w:t xml:space="preserve">Open methodology documentation. Structural firewall between sales and data from day one.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Infrastructure costs at scale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Low</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1"/>
                <w:szCs w:val="21"/>
              </w:rPr>
              <w:t xml:space="preserve">Monitor at 270 pages. Optimize edge caching and static generation before scaling to 500+ pages.</w:t>
            </w:r>
          </w:p>
        </w:tc>
      </w:tr>
    </w:tbl>
    <w:p>
      <w:pPr>
        <w:spacing w:after="120" w:before="0"/>
      </w:pPr>
      <w:r>
        <w:t xml:space="preserve"/>
      </w:r>
    </w:p>
    <w:p>
      <w:r>
        <w:br w:type="page"/>
      </w:r>
    </w:p>
    <w:p>
      <w:pPr>
        <w:pStyle w:val="Heading1"/>
        <w:pBdr>
          <w:bottom w:val="single" w:color="14B8A6" w:sz="4" w:space="6"/>
        </w:pBdr>
        <w:spacing w:after="160" w:before="360"/>
      </w:pPr>
      <w:r>
        <w:rPr>
          <w:rFonts w:ascii="Arial" w:cs="Arial" w:eastAsia="Arial" w:hAnsi="Arial"/>
          <w:b/>
          <w:bCs/>
          <w:color w:val="1A6B5A"/>
          <w:sz w:val="36"/>
          <w:szCs w:val="36"/>
        </w:rPr>
        <w:t xml:space="preserve">9.  Strategic Summary</w:t>
      </w:r>
    </w:p>
    <w:p>
      <w:pPr>
        <w:spacing w:after="120" w:before="0"/>
      </w:pPr>
      <w:r>
        <w:t xml:space="preserve"/>
      </w:r>
    </w:p>
    <w:p>
      <w:pPr>
        <w:spacing w:after="140" w:before="0"/>
      </w:pPr>
      <w:r>
        <w:rPr>
          <w:rFonts w:ascii="Arial" w:cs="Arial" w:eastAsia="Arial" w:hAnsi="Arial"/>
          <w:b w:val="false"/>
          <w:bCs w:val="false"/>
          <w:color w:val="374151"/>
          <w:sz w:val="22"/>
          <w:szCs w:val="22"/>
        </w:rPr>
        <w:t xml:space="preserve">Lakive's opportunity is significant and specific: there is no trusted, occupation-specific, Human-layer-aware city intelligence platform for people making serious relocation decisions. Glassdoor proved this model works for companies. Numbeo proved raw data has demand. Lakive combines both with the one layer neither has: the Human.</w:t>
      </w:r>
    </w:p>
    <w:p>
      <w:pPr>
        <w:spacing w:after="120" w:before="0"/>
      </w:pPr>
      <w:r>
        <w:t xml:space="preserve"/>
      </w:r>
    </w:p>
    <w:p>
      <w:pPr>
        <w:spacing w:after="140" w:before="0"/>
      </w:pPr>
      <w:r>
        <w:rPr>
          <w:rFonts w:ascii="Arial" w:cs="Arial" w:eastAsia="Arial" w:hAnsi="Arial"/>
          <w:b w:val="false"/>
          <w:bCs w:val="false"/>
          <w:color w:val="374151"/>
          <w:sz w:val="22"/>
          <w:szCs w:val="22"/>
        </w:rPr>
        <w:t xml:space="preserve">The path from here to a durable business follows a clear sequence:</w:t>
      </w:r>
    </w:p>
    <w:p>
      <w:pPr>
        <w:spacing w:after="120" w:before="0"/>
      </w:pPr>
      <w:r>
        <w:t xml:space="preserve"/>
      </w:r>
    </w:p>
    <w:p>
      <w:pPr>
        <w:pStyle w:val="ListParagraph"/>
        <w:numPr>
          <w:ilvl w:val="0"/>
          <w:numId w:val="3"/>
        </w:numPr>
        <w:spacing w:after="40" w:before="40"/>
      </w:pPr>
      <w:r>
        <w:rPr>
          <w:rFonts w:ascii="Arial" w:cs="Arial" w:eastAsia="Arial" w:hAnsi="Arial"/>
          <w:color w:val="374151"/>
          <w:sz w:val="22"/>
          <w:szCs w:val="22"/>
        </w:rPr>
        <w:t xml:space="preserve">Build the best free tool for relocation decision-making in North America. (Months 1-12)</w:t>
      </w:r>
    </w:p>
    <w:p>
      <w:pPr>
        <w:pStyle w:val="ListParagraph"/>
        <w:numPr>
          <w:ilvl w:val="0"/>
          <w:numId w:val="3"/>
        </w:numPr>
        <w:spacing w:after="40" w:before="40"/>
      </w:pPr>
      <w:r>
        <w:rPr>
          <w:rFonts w:ascii="Arial" w:cs="Arial" w:eastAsia="Arial" w:hAnsi="Arial"/>
          <w:color w:val="374151"/>
          <w:sz w:val="22"/>
          <w:szCs w:val="22"/>
        </w:rPr>
        <w:t xml:space="preserve">Convert free users into structured data contributors. Build the moat no competitor can replicate. (Months 12-24)</w:t>
      </w:r>
    </w:p>
    <w:p>
      <w:pPr>
        <w:pStyle w:val="ListParagraph"/>
        <w:numPr>
          <w:ilvl w:val="0"/>
          <w:numId w:val="3"/>
        </w:numPr>
        <w:spacing w:after="40" w:before="40"/>
      </w:pPr>
      <w:r>
        <w:rPr>
          <w:rFonts w:ascii="Arial" w:cs="Arial" w:eastAsia="Arial" w:hAnsi="Arial"/>
          <w:color w:val="374151"/>
          <w:sz w:val="22"/>
          <w:szCs w:val="22"/>
        </w:rPr>
        <w:t xml:space="preserve">Leverage audience trust and proprietary data to sell intelligence products to cities and employers. (Months 18-36)</w:t>
      </w:r>
    </w:p>
    <w:p>
      <w:pPr>
        <w:pStyle w:val="ListParagraph"/>
        <w:numPr>
          <w:ilvl w:val="0"/>
          <w:numId w:val="3"/>
        </w:numPr>
        <w:spacing w:after="40" w:before="40"/>
      </w:pPr>
      <w:r>
        <w:rPr>
          <w:rFonts w:ascii="Arial" w:cs="Arial" w:eastAsia="Arial" w:hAnsi="Arial"/>
          <w:color w:val="374151"/>
          <w:sz w:val="22"/>
          <w:szCs w:val="22"/>
        </w:rPr>
        <w:t xml:space="preserve">Expand internationally only once the model is proven in North America. (Months 24-48)</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F6D5" w:sz="1"/>
              <w:left w:val="single" w:color="14B8A6" w:sz="14"/>
              <w:bottom w:val="single" w:color="C6F6D5" w:sz="1"/>
              <w:right w:val="single" w:color="C6F6D5" w:sz="1"/>
            </w:tcBorders>
            <w:shd w:fill="F0FDF4" w:val="clear"/>
            <w:tcMar>
              <w:top w:type="dxa" w:w="120"/>
              <w:left w:type="dxa" w:w="200"/>
              <w:bottom w:type="dxa" w:w="120"/>
              <w:right w:type="dxa" w:w="180"/>
            </w:tcMar>
          </w:tcPr>
          <w:p>
            <w:pPr>
              <w:spacing w:after="60" w:before="0"/>
            </w:pPr>
            <w:r>
              <w:rPr>
                <w:rFonts w:ascii="Arial" w:cs="Arial" w:eastAsia="Arial" w:hAnsi="Arial"/>
                <w:b/>
                <w:bCs/>
                <w:color w:val="1A6B5A"/>
                <w:sz w:val="20"/>
                <w:szCs w:val="20"/>
              </w:rPr>
              <w:t xml:space="preserve">The Single Most Important Bet</w:t>
            </w:r>
          </w:p>
          <w:p>
            <w:pPr>
              <w:spacing w:after="0" w:before="0"/>
            </w:pPr>
            <w:r>
              <w:rPr>
                <w:rFonts w:ascii="Arial" w:cs="Arial" w:eastAsia="Arial" w:hAnsi="Arial"/>
                <w:color w:val="374151"/>
                <w:sz w:val="21"/>
                <w:szCs w:val="21"/>
              </w:rPr>
              <w:t xml:space="preserve">Lakive's success or failure hinges on one thing: whether users trust the data enough to make real decisions based on it — and then trust it enough to share their own experience back. Everything else follows from this.</w:t>
            </w:r>
          </w:p>
        </w:tc>
      </w:tr>
    </w:tbl>
    <w:p>
      <w:pPr>
        <w:spacing w:after="120" w:before="0"/>
      </w:pPr>
      <w:r>
        <w:t xml:space="preserve"/>
      </w:r>
    </w:p>
    <w:p>
      <w:pPr>
        <w:pBdr>
          <w:top w:val="single" w:color="D1FAE5" w:sz="2" w:space="8"/>
        </w:pBdr>
        <w:spacing w:after="80" w:before="320"/>
      </w:pPr>
      <w:r>
        <w:rPr>
          <w:rFonts w:ascii="Arial" w:cs="Arial" w:eastAsia="Arial" w:hAnsi="Arial"/>
          <w:color w:val="6B7280"/>
          <w:sz w:val="18"/>
          <w:szCs w:val="18"/>
        </w:rPr>
        <w:t xml:space="preserve">Lakive Strategy Brief — 2026  |  Internal document. Confidential.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FAE5" w:sz="2" w:space="4"/>
      </w:pBdr>
      <w:tabs>
        <w:tab w:val="right" w:pos="9026"/>
      </w:tabs>
      <w:spacing w:after="0" w:before="120"/>
    </w:pPr>
    <w:r>
      <w:rPr>
        <w:rFonts w:ascii="Arial" w:cs="Arial" w:eastAsia="Arial" w:hAnsi="Arial"/>
        <w:color w:val="6B7280"/>
        <w:sz w:val="18"/>
        <w:szCs w:val="18"/>
      </w:rPr>
      <w:t xml:space="preserve">Confidential</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FAE5" w:sz="2" w:space="4"/>
      </w:pBdr>
      <w:tabs>
        <w:tab w:val="right" w:pos="9026"/>
      </w:tabs>
      <w:spacing w:after="120" w:before="0"/>
    </w:pPr>
    <w:r>
      <w:rPr>
        <w:rFonts w:ascii="Arial" w:cs="Arial" w:eastAsia="Arial" w:hAnsi="Arial"/>
        <w:b/>
        <w:bCs/>
        <w:color w:val="1A6B5A"/>
        <w:sz w:val="18"/>
        <w:szCs w:val="18"/>
      </w:rPr>
      <w:t xml:space="preserve">LAKIVE</w:t>
    </w:r>
    <w:r>
      <w:rPr>
        <w:rFonts w:ascii="Arial" w:cs="Arial" w:eastAsia="Arial" w:hAnsi="Arial"/>
        <w:color w:val="6B7280"/>
        <w:sz w:val="18"/>
        <w:szCs w:val="18"/>
      </w:rPr>
      <w:t xml:space="preserve">	Strategy Brief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6B5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6B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2026-07-07T06:18:16.318Z</dcterms:created>
  <dcterms:modified xsi:type="dcterms:W3CDTF">2026-07-07T06:18:16.318Z</dcterms:modified>
</cp:coreProperties>
</file>

<file path=docProps/custom.xml><?xml version="1.0" encoding="utf-8"?>
<Properties xmlns="http://schemas.openxmlformats.org/officeDocument/2006/custom-properties" xmlns:vt="http://schemas.openxmlformats.org/officeDocument/2006/docPropsVTypes"/>
</file>