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color w:val="1A3C6E"/>
          <w:sz w:val="72"/>
          <w:szCs w:val="72"/>
        </w:rPr>
        <w:t xml:space="preserve">CityCity Life System™</w:t>
      </w:r>
    </w:p>
    <w:p>
      <w:pPr>
        <w:spacing w:after="200"/>
        <w:jc w:val="center"/>
      </w:pPr>
      <w:r>
        <w:rPr>
          <w:color w:val="2E75B6"/>
          <w:sz w:val="32"/>
          <w:szCs w:val="32"/>
        </w:rPr>
        <w:t xml:space="preserve">产品需求文档 Product Requirements Document</w:t>
      </w:r>
    </w:p>
    <w:p>
      <w:pPr>
        <w:spacing w:after="600"/>
        <w:jc w:val="center"/>
      </w:pPr>
      <w:r>
        <w:rPr>
          <w:color w:val="6B7280"/>
          <w:sz w:val="28"/>
          <w:szCs w:val="28"/>
        </w:rPr>
        <w:t xml:space="preserve">v4.2  |  2026年6月</w:t>
      </w:r>
    </w:p>
    <w:p>
      <w:pPr>
        <w:spacing w:after="200"/>
        <w:jc w:val="center"/>
      </w:pPr>
      <w:r>
        <w:rPr>
          <w:b/>
          <w:bCs/>
          <w:color w:val="B8860B"/>
          <w:sz w:val="40"/>
          <w:szCs w:val="40"/>
        </w:rPr>
        <w:t xml:space="preserve">看清城市生活的真相</w:t>
      </w:r>
    </w:p>
    <w:p>
      <w:pPr>
        <w:spacing w:after="600"/>
        <w:jc w:val="center"/>
      </w:pPr>
      <w:r>
        <w:rPr>
          <w:i/>
          <w:iCs/>
          <w:color w:val="6B7280"/>
          <w:sz w:val="24"/>
          <w:szCs w:val="24"/>
        </w:rPr>
        <w:t xml:space="preserve">"Vancouver for Electricians = 86.  Vancouver for Retail Workers = 42."</w:t>
      </w:r>
    </w:p>
    <w:p>
      <w:pPr>
        <w:spacing w:after="2000"/>
        <w:jc w:val="center"/>
      </w:pPr>
      <w:r>
        <w:rPr>
          <w:color w:val="6B7280"/>
          <w:sz w:val="20"/>
          <w:szCs w:val="20"/>
        </w:rPr>
        <w:t xml:space="preserve">机密文件 — 仅供内部使用  |  citycity.org@gmail.com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A3C6E"/>
        </w:rPr>
        <w:t xml:space="preserve">1. 执行摘要 Executive Summary</w:t>
      </w:r>
    </w:p>
    <w:p>
      <w:pPr>
        <w:pBdr>
          <w:bottom w:val="single" w:color="2E75B6" w:sz="4" w:space="1"/>
        </w:pBdr>
        <w:spacing w:after="200" w:before="10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2E75B6"/>
        </w:rPr>
        <w:t xml:space="preserve">1.1 产品定位</w:t>
      </w:r>
    </w:p>
    <w:p>
      <w:pPr>
        <w:spacing w:after="160"/>
      </w:pPr>
      <w:r>
        <w:rPr>
          <w:sz w:val="22"/>
          <w:szCs w:val="22"/>
        </w:rPr>
        <w:t xml:space="preserve">CityCity 是一个</w:t>
      </w:r>
      <w:r>
        <w:rPr>
          <w:b/>
          <w:bCs/>
          <w:color w:val="1A3C6E"/>
          <w:sz w:val="22"/>
          <w:szCs w:val="22"/>
        </w:rPr>
        <w:t xml:space="preserve"> 职业×城市适配引擎 </w:t>
      </w:r>
      <w:r>
        <w:rPr>
          <w:sz w:val="22"/>
          <w:szCs w:val="22"/>
        </w:rPr>
        <w:t xml:space="preserve">，专为在加拿大寻求最优城市定居或迁移的移民、求职者和换城者设计。核心命题：</w:t>
      </w:r>
    </w:p>
    <w:p>
      <w:pPr>
        <w:pBdr>
          <w:left w:val="thick" w:color="2E75B6" w:sz="12" w:space="10"/>
        </w:pBdr>
        <w:spacing w:after="200" w:before="200"/>
        <w:ind w:left="400"/>
        <w:jc w:val="center"/>
      </w:pPr>
      <w:r>
        <w:rPr>
          <w:b/>
          <w:bCs/>
          <w:i/>
          <w:iCs/>
          <w:color w:val="1A3C6E"/>
          <w:sz w:val="26"/>
          <w:szCs w:val="26"/>
        </w:rPr>
        <w:t xml:space="preserve">"同一座城市，对不同职业的人，价值可以相差两倍以上。"</w:t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产品输出"Vancouver 对电工 = 86分，对零售员 = 42分"——而非无差别的"Vancouver = 72分"。这一洞察重新定义了城市比较类产品的竞争维度。</w:t>
      </w:r>
    </w:p>
    <w:p>
      <w:pPr>
        <w:pStyle w:val="Heading2"/>
        <w:spacing w:after="160" w:before="280"/>
      </w:pPr>
      <w:r>
        <w:rPr>
          <w:b/>
          <w:bCs/>
          <w:color w:val="2E75B6"/>
        </w:rPr>
        <w:t xml:space="preserve">1.2 竞争对手对比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1800"/>
        <w:gridCol w:w="1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特性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Numbeo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EIU城市指数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MoneySense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CityCity v4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核心用途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111827"/>
                <w:sz w:val="20"/>
                <w:szCs w:val="20"/>
              </w:rPr>
              <w:t xml:space="preserve">生活成本查询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111827"/>
                <w:sz w:val="20"/>
                <w:szCs w:val="20"/>
              </w:rPr>
              <w:t xml:space="preserve">城市排名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111827"/>
                <w:sz w:val="20"/>
                <w:szCs w:val="20"/>
              </w:rPr>
              <w:t xml:space="preserve">加拿大宜居排名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111827"/>
                <w:sz w:val="20"/>
                <w:szCs w:val="20"/>
              </w:rPr>
              <w:t xml:space="preserve">职业×城市匹配引擎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职业适配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111827"/>
                <w:sz w:val="20"/>
                <w:szCs w:val="20"/>
              </w:rPr>
              <w:t xml:space="preserve">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111827"/>
                <w:sz w:val="20"/>
                <w:szCs w:val="20"/>
              </w:rPr>
              <w:t xml:space="preserve">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111827"/>
                <w:sz w:val="20"/>
                <w:szCs w:val="20"/>
              </w:rPr>
              <w:t xml:space="preserve">无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1E6B3C"/>
                <w:sz w:val="20"/>
                <w:szCs w:val="20"/>
              </w:rPr>
              <w:t xml:space="preserve">✓ 核心功能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增长层数据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111827"/>
                <w:sz w:val="20"/>
                <w:szCs w:val="20"/>
              </w:rPr>
              <w:t xml:space="preserve">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111827"/>
                <w:sz w:val="20"/>
                <w:szCs w:val="20"/>
              </w:rPr>
              <w:t xml:space="preserve">部分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111827"/>
                <w:sz w:val="20"/>
                <w:szCs w:val="20"/>
              </w:rPr>
              <w:t xml:space="preserve">无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1E6B3C"/>
                <w:sz w:val="20"/>
                <w:szCs w:val="20"/>
              </w:rPr>
              <w:t xml:space="preserve">✓ SGI/IDI/CMI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税收分析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111827"/>
                <w:sz w:val="20"/>
                <w:szCs w:val="20"/>
              </w:rPr>
              <w:t xml:space="preserve">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111827"/>
                <w:sz w:val="20"/>
                <w:szCs w:val="20"/>
              </w:rPr>
              <w:t xml:space="preserve">部分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111827"/>
                <w:sz w:val="20"/>
                <w:szCs w:val="20"/>
              </w:rPr>
              <w:t xml:space="preserve">无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1E6B3C"/>
                <w:sz w:val="20"/>
                <w:szCs w:val="20"/>
              </w:rPr>
              <w:t xml:space="preserve">✓ TAI维度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Double 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111827"/>
                <w:sz w:val="20"/>
                <w:szCs w:val="20"/>
              </w:rPr>
              <w:t xml:space="preserve">有（CLI重复）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1E6B3C"/>
                <w:sz w:val="20"/>
                <w:szCs w:val="20"/>
              </w:rPr>
              <w:t xml:space="preserve">✓ DCI明确排除住房/交通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目标用户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111827"/>
                <w:sz w:val="20"/>
                <w:szCs w:val="20"/>
              </w:rPr>
              <w:t xml:space="preserve">游客/外籍人士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111827"/>
                <w:sz w:val="20"/>
                <w:szCs w:val="20"/>
              </w:rPr>
              <w:t xml:space="preserve">企业决策者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111827"/>
                <w:sz w:val="20"/>
                <w:szCs w:val="20"/>
              </w:rPr>
              <w:t xml:space="preserve">本地读者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111827"/>
                <w:sz w:val="20"/>
                <w:szCs w:val="20"/>
              </w:rPr>
              <w:t xml:space="preserve">移民/求职者/换城者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商业模式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111827"/>
                <w:sz w:val="20"/>
                <w:szCs w:val="20"/>
              </w:rPr>
              <w:t xml:space="preserve">广告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111827"/>
                <w:sz w:val="20"/>
                <w:szCs w:val="20"/>
              </w:rPr>
              <w:t xml:space="preserve">企业订阅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111827"/>
                <w:sz w:val="20"/>
                <w:szCs w:val="20"/>
              </w:rPr>
              <w:t xml:space="preserve">媒体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111827"/>
                <w:sz w:val="20"/>
                <w:szCs w:val="20"/>
              </w:rPr>
              <w:t xml:space="preserve">SaaS + API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2E75B6"/>
        </w:rPr>
        <w:t xml:space="preserve">1.3 v4.2 版本里程碑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引入 TAI 税收优势指数（替代 CPI）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新增 Growth Layer 增长层（SGI + IDI + CMI）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HCI 重命名为 HAI（Healthcare Access Index），范围收窄至纯医疗可及性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CLI 重命名为 DCI（Daily Cost Index），明确排除住房/交通/医疗，解决 Double Counting 问题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CLI/DCI 权重从 8 降至 4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首页重设计：Hero Statement + 职业选择器 + 今日发现 + 热门对比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职业×城市匹配引擎 Beta（约 40 个职业）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A3C6E"/>
        </w:rPr>
        <w:t xml:space="preserve">2. 产品愿景与战略思考</w:t>
      </w:r>
    </w:p>
    <w:p>
      <w:pPr>
        <w:pBdr>
          <w:bottom w:val="single" w:color="2E75B6" w:sz="4" w:space="1"/>
        </w:pBdr>
        <w:spacing w:after="200" w:before="10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2E75B6"/>
        </w:rPr>
        <w:t xml:space="preserve">2.1 核心洞察：为什么城市分数必须有职业维度</w:t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传统城市排名的根本缺陷在于：它把"城市"当做一个对所有人同等适用的容器。但城市的核心价值是其劳动力市场，而劳动力市场对不同职业的供需完全不同。</w:t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以温哥华为例：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软件工程师：科技行业聚集，高薪岗位密集，TAI 温和（BC 无 HST）→ 职业适配度高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电工：稳定需求，工会保护，收入与住房比合理 → 职业适配度高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零售员：竞争激烈，工资中位数低，房价收入比极高 → 职业适配度极低</w:t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"Vancouver Score = 72"对任何人都没有实际决策价值。用户真正需要的是"我的职业在温哥华的生存空间、增长轨道和生活质量"。</w:t>
      </w:r>
    </w:p>
    <w:p>
      <w:pPr>
        <w:pStyle w:val="Heading2"/>
        <w:spacing w:after="160" w:before="280"/>
      </w:pPr>
      <w:r>
        <w:rPr>
          <w:b/>
          <w:bCs/>
          <w:color w:val="2E75B6"/>
        </w:rPr>
        <w:t xml:space="preserve">2.2 四大护城河</w:t>
      </w:r>
    </w:p>
    <w:p>
      <w:pPr>
        <w:pStyle w:val="Heading3"/>
        <w:spacing w:after="120" w:before="200"/>
      </w:pPr>
      <w:r>
        <w:rPr>
          <w:b/>
          <w:bCs/>
          <w:color w:val="1A3C6E"/>
        </w:rPr>
        <w:t xml:space="preserve">第一护城河：职业×维度数据矩阵</w:t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CityCity 构建的是"职业×城市×维度"三维矩阵。每个维度的得分都根据职业收入、行业集中度、职业特定失业率重新校准。矩阵深度（13 维度 × N 职业 × 5 城市）本身构成竞争壁垒。</w:t>
      </w:r>
    </w:p>
    <w:p>
      <w:pPr>
        <w:pStyle w:val="Heading3"/>
        <w:spacing w:after="120" w:before="200"/>
      </w:pPr>
      <w:r>
        <w:rPr>
          <w:b/>
          <w:bCs/>
          <w:color w:val="1A3C6E"/>
        </w:rPr>
        <w:t xml:space="preserve">第二护城河：加拿大本土化深度</w:t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Numbeo 是全球通用工具，无法处理加拿大特有的省级税制差异（AB 无PST、所得税结构宽松 vs QC 25.75%）、CMHC 住房数据、医疗等待时间省级差异。CityCity 深度本土化。</w:t>
      </w:r>
    </w:p>
    <w:p>
      <w:pPr>
        <w:pStyle w:val="Heading3"/>
        <w:spacing w:after="120" w:before="200"/>
      </w:pPr>
      <w:r>
        <w:rPr>
          <w:b/>
          <w:bCs/>
          <w:color w:val="1A3C6E"/>
        </w:rPr>
        <w:t xml:space="preserve">第三护城河：增长层（Growth Layer）</w:t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市场上唯一系统性量化"三年后职业发展如何"的框架。大多数城市排名只回答"现在活得如何"，移民和求职者更关心"能不能变得更好"。</w:t>
      </w:r>
    </w:p>
    <w:p>
      <w:pPr>
        <w:pStyle w:val="Heading3"/>
        <w:spacing w:after="120" w:before="200"/>
      </w:pPr>
      <w:r>
        <w:rPr>
          <w:b/>
          <w:bCs/>
          <w:color w:val="1A3C6E"/>
        </w:rPr>
        <w:t xml:space="preserve">第四护城河：指数设计严谨性</w:t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v4.2 明确解决了 Numbeo 等工具普遍存在的 Double Counting（重复计算）问题——DCI 明确排除住房、交通、医疗，各维度之间无重叠。这是向专业机构和 B 端用户展示可信度的基础。</w:t>
      </w:r>
    </w:p>
    <w:p>
      <w:pPr>
        <w:pStyle w:val="Heading2"/>
        <w:spacing w:after="160" w:before="280"/>
      </w:pPr>
      <w:r>
        <w:rPr>
          <w:b/>
          <w:bCs/>
          <w:color w:val="2E75B6"/>
        </w:rPr>
        <w:t xml:space="preserve">2.3 目标用户画像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主用户：技术移民、留学生毕业求职者，面临"去哪个城市"的一次性高价值决策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次用户：在职人员考虑换城市（如多伦多→卡尔加里），寻求税负和生活成本优化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潜在 B 端：移民律所、人才猎头（通过 API 调用城市×职业匹配数据）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A3C6E"/>
        </w:rPr>
        <w:t xml:space="preserve">3. CityCity Life System™ 评分框架 v4.2</w:t>
      </w:r>
    </w:p>
    <w:p>
      <w:pPr>
        <w:pBdr>
          <w:bottom w:val="single" w:color="2E75B6" w:sz="4" w:space="1"/>
        </w:pBdr>
        <w:spacing w:after="200" w:before="10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2E75B6"/>
        </w:rPr>
        <w:t xml:space="preserve">3.1 三层架构设计逻辑</w:t>
      </w:r>
    </w:p>
    <w:p>
      <w:pPr>
        <w:spacing w:after="200" w:before="200"/>
        <w:jc w:val="center"/>
      </w:pPr>
      <w:r>
        <w:rPr>
          <w:b/>
          <w:bCs/>
          <w:color w:val="1A3C6E"/>
          <w:sz w:val="24"/>
          <w:szCs w:val="24"/>
        </w:rPr>
        <w:t xml:space="preserve">生存层 Survival (60分)</w:t>
      </w:r>
      <w:r>
        <w:rPr>
          <w:sz w:val="22"/>
          <w:szCs w:val="22"/>
        </w:rPr>
        <w:t xml:space="preserve">  →  </w:t>
      </w:r>
      <w:r>
        <w:rPr>
          <w:b/>
          <w:bCs/>
          <w:color w:val="2E75B6"/>
          <w:sz w:val="24"/>
          <w:szCs w:val="24"/>
        </w:rPr>
        <w:t xml:space="preserve">增长层 Growth (20分)</w:t>
      </w:r>
      <w:r>
        <w:rPr>
          <w:sz w:val="22"/>
          <w:szCs w:val="22"/>
        </w:rPr>
        <w:t xml:space="preserve">  →  </w:t>
      </w:r>
      <w:r>
        <w:rPr>
          <w:b/>
          <w:bCs/>
          <w:color w:val="B8860B"/>
          <w:sz w:val="24"/>
          <w:szCs w:val="24"/>
        </w:rPr>
        <w:t xml:space="preserve">生活层 Life (20分)</w:t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三层架构基于移民决策的优先级序列：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生存层 (60%)："我能在这座城市活下去吗？"——住房、租金、税收、就业、医疗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增长层 (20%)："我在这座城市能变得更好吗？"——薪资增长、行业发展、职业流动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生活层 (20%)："我在这座城市活得好吗？"——教育、环境、日常消费、交通、安全</w:t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权重比例（6:2:2）明确反映了移民决策的优先级——大多数人首先确保能"活下去"，再考虑"长得好"，最后优化"活得好"。</w:t>
      </w:r>
    </w:p>
    <w:p>
      <w:pPr>
        <w:spacing w:after="10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2E75B6"/>
        </w:rPr>
        <w:t xml:space="preserve">3.2 完整维度权重表（v4.2 最终版）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800"/>
        <w:gridCol w:w="1000"/>
        <w:gridCol w:w="1560"/>
        <w:gridCol w:w="1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层级 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维度 Dimension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权重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满分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数据来源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统计范围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A3C6E"/>
                <w:sz w:val="18"/>
                <w:szCs w:val="18"/>
              </w:rPr>
              <w:t xml:space="preserve">生存层
Survival
(60分)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HPI  住房可负担性
Housing Price Index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22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6B7280"/>
                <w:sz w:val="18"/>
                <w:szCs w:val="18"/>
              </w:rPr>
              <w:t xml:space="preserve">CMHC / MLS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6B7280"/>
                <w:sz w:val="18"/>
                <w:szCs w:val="18"/>
              </w:rPr>
              <w:t xml:space="preserve">职业收入×房价比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color w:val="1A3C6E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RPI  租房可负担性
Rent Price Index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6B7280"/>
                <w:sz w:val="18"/>
                <w:szCs w:val="18"/>
              </w:rPr>
              <w:t xml:space="preserve">CMHC RRMS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6B7280"/>
                <w:sz w:val="18"/>
                <w:szCs w:val="18"/>
              </w:rPr>
              <w:t xml:space="preserve">中位租金/中位收入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color w:val="1A3C6E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TAI  税收优势指数
Tax Advantage Index ★新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 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 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6B7280"/>
                <w:sz w:val="18"/>
                <w:szCs w:val="18"/>
              </w:rPr>
              <w:t xml:space="preserve">CRA / 省级税表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6B7280"/>
                <w:sz w:val="18"/>
                <w:szCs w:val="18"/>
              </w:rPr>
              <w:t xml:space="preserve">省级所得税+HST/GST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color w:val="1A3C6E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EOI  就业机会指数
Employment Opp. Index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6B7280"/>
                <w:sz w:val="18"/>
                <w:szCs w:val="18"/>
              </w:rPr>
              <w:t xml:space="preserve">StatCan LFS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6B7280"/>
                <w:sz w:val="18"/>
                <w:szCs w:val="18"/>
              </w:rPr>
              <w:t xml:space="preserve">职业失业率+招聘密度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color w:val="1A3C6E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HAI  医疗可及指数
Healthcare Access Index ★改名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6B7280"/>
                <w:sz w:val="18"/>
                <w:szCs w:val="18"/>
              </w:rPr>
              <w:t xml:space="preserve">CIHI / 省级卫生局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6B7280"/>
                <w:sz w:val="18"/>
                <w:szCs w:val="18"/>
              </w:rPr>
              <w:t xml:space="preserve">等待时间+家庭医生可及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A3C6E"/>
                <w:sz w:val="18"/>
                <w:szCs w:val="18"/>
              </w:rPr>
              <w:t xml:space="preserve">增长层
Growth
(20分)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SGI  薪资增长指数
Salary Growth Index ★新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 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 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6B7280"/>
                <w:sz w:val="18"/>
                <w:szCs w:val="18"/>
              </w:rPr>
              <w:t xml:space="preserve">StatCan LFS季度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6B7280"/>
                <w:sz w:val="18"/>
                <w:szCs w:val="18"/>
              </w:rPr>
              <w:t xml:space="preserve">3年复合工资增长率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color w:val="1A3C6E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IDI  行业发展指数
Industry Dev. Index ★新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 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 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6B7280"/>
                <w:sz w:val="18"/>
                <w:szCs w:val="18"/>
              </w:rPr>
              <w:t xml:space="preserve">StatCan行业数据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6B7280"/>
                <w:sz w:val="18"/>
                <w:szCs w:val="18"/>
              </w:rPr>
              <w:t xml:space="preserve">行业就业增长×城市份额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color w:val="1A3C6E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CMI  职业流动指数
Career Mobility Index ★新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 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 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6B7280"/>
                <w:sz w:val="18"/>
                <w:szCs w:val="18"/>
              </w:rPr>
              <w:t xml:space="preserve">NOC / BDC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6B7280"/>
                <w:sz w:val="18"/>
                <w:szCs w:val="18"/>
              </w:rPr>
              <w:t xml:space="preserve">管理岗比例+高薪岗密度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A3C6E"/>
                <w:sz w:val="18"/>
                <w:szCs w:val="18"/>
              </w:rPr>
              <w:t xml:space="preserve">生活层
Life
(20分)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EDI  教育资源指数
Education Dev. Index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 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 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6B7280"/>
                <w:sz w:val="18"/>
                <w:szCs w:val="18"/>
              </w:rPr>
              <w:t xml:space="preserve">Fraser Institute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6B7280"/>
                <w:sz w:val="18"/>
                <w:szCs w:val="18"/>
              </w:rPr>
              <w:t xml:space="preserve">学区排名+高校资源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color w:val="1A3C6E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EQI  环境质量指数
Environment Quality Index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 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 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6B7280"/>
                <w:sz w:val="18"/>
                <w:szCs w:val="18"/>
              </w:rPr>
              <w:t xml:space="preserve">Health Canada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6B7280"/>
                <w:sz w:val="18"/>
                <w:szCs w:val="18"/>
              </w:rPr>
              <w:t xml:space="preserve">AQI+绿地率+水质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color w:val="1A3C6E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DCI  日常消费指数
Daily Cost Index ★改名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 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 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6B7280"/>
                <w:sz w:val="18"/>
                <w:szCs w:val="18"/>
              </w:rPr>
              <w:t xml:space="preserve">StatCan SHS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6B7280"/>
                <w:sz w:val="18"/>
                <w:szCs w:val="18"/>
              </w:rPr>
              <w:t xml:space="preserve">食品/餐饮/娱乐（不含住房交通）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color w:val="1A3C6E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TCI  交通便利指数
Transit Convenience Index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 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 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6B7280"/>
                <w:sz w:val="18"/>
                <w:szCs w:val="18"/>
              </w:rPr>
              <w:t xml:space="preserve">CUTA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6B7280"/>
                <w:sz w:val="18"/>
                <w:szCs w:val="18"/>
              </w:rPr>
              <w:t xml:space="preserve">公共交通+步行评分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color w:val="1A3C6E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PSI  公共安全指数
Public Safety Index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 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 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6B7280"/>
                <w:sz w:val="18"/>
                <w:szCs w:val="18"/>
              </w:rPr>
              <w:t xml:space="preserve">StatCan UCRC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6B7280"/>
                <w:sz w:val="18"/>
                <w:szCs w:val="18"/>
              </w:rPr>
              <w:t xml:space="preserve">暴力/财产犯罪率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合计 Total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13个维度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100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100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2E75B6"/>
        </w:rPr>
        <w:t xml:space="preserve">3.3 各维度设计说明</w:t>
      </w:r>
    </w:p>
    <w:p>
      <w:pPr>
        <w:pStyle w:val="Heading3"/>
        <w:spacing w:after="120" w:before="200"/>
      </w:pPr>
      <w:r>
        <w:rPr>
          <w:b/>
          <w:bCs/>
          <w:color w:val="1A3C6E"/>
        </w:rPr>
        <w:t xml:space="preserve">TAI — 税收优势指数（新增，替代 CPI）</w:t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v3.6 使用 CPI（消费价格指数）有两个根本缺陷：(1) CPI 衡量通胀速率，不衡量绝对成本水平；(2) CPI 不包含税收差异——而加拿大城市间最大的可量化政策差异正是税收。TAI 直接量化省级税负：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省级所得税顶级边际税率（个人）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HST / GST 消费税差异（5% vs 13% vs 14.975%）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AB 省无省级销售税(PST)、所得税结构相对宽松的税收优势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560"/>
        <w:gridCol w:w="2000"/>
        <w:gridCol w:w="1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城市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省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TAI (/5)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省级所得税（顶级）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消费税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卡尔加里 Calgary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E6B3C"/>
                <w:sz w:val="20"/>
                <w:szCs w:val="20"/>
              </w:rPr>
              <w:t xml:space="preserve">90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无省级销售税(PST)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GST 5%（无PST）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温哥华 Vancouver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BC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72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20.5%顶级边际税率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GST 5% + PST 7%（共12%）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渥太华 Ottawa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68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13.16%顶级边际税率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HST 13%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多伦多 Toronto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68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13.16%顶级边际税率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HST 13%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蒙特利尔 Montreal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QC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B85C00"/>
                <w:sz w:val="20"/>
                <w:szCs w:val="20"/>
              </w:rPr>
              <w:t xml:space="preserve">42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25.75%顶级边际税率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GST+QST 14.975%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对年收入 $120K 的工程师，从 QC 迁往 AB 可节省年税负 CAD $22,000 以上。TAI 让这一差异在评分中得到量化体现。</w:t>
      </w:r>
    </w:p>
    <w:p>
      <w:pPr>
        <w:pStyle w:val="Heading3"/>
        <w:spacing w:after="120" w:before="200"/>
      </w:pPr>
      <w:r>
        <w:rPr>
          <w:b/>
          <w:bCs/>
          <w:color w:val="1A3C6E"/>
        </w:rPr>
        <w:t xml:space="preserve">HAI — 医疗可及指数（由 HCI 改名）</w:t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原 HCI（Health &amp; Education Index）同时覆盖医疗和教育，但教育资源已由 EDI（Education Dev. Index）单独覆盖，形成范围重叠。v4.2 将医疗维度独立命名为 HAI，聚焦于：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家庭医生可及性（无家庭医生人口比例）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急诊等待时间（CIHI 省级数据）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专科转诊等待时间（CIHI 专科数据）</w:t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HAI 与 EDI 彻底分离，各维度范围干净，无重叠。</w:t>
      </w:r>
    </w:p>
    <w:p>
      <w:pPr>
        <w:pStyle w:val="Heading3"/>
        <w:spacing w:after="120" w:before="200"/>
      </w:pPr>
      <w:r>
        <w:rPr>
          <w:b/>
          <w:bCs/>
          <w:color w:val="1A3C6E"/>
        </w:rPr>
        <w:t xml:space="preserve">SGI — 薪资增长指数（新增）</w:t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SGI 衡量过去 3 年各职业在该城市的复合工资增长率。数据来源：StatCan LFS 职业×地区交叉表。SGI 对移民尤为重要——到达时起薪往往偏低，SGI 体现该城市是否有"向上跑道"。</w:t>
      </w:r>
    </w:p>
    <w:p>
      <w:pPr>
        <w:pStyle w:val="Heading3"/>
        <w:spacing w:after="120" w:before="200"/>
      </w:pPr>
      <w:r>
        <w:rPr>
          <w:b/>
          <w:bCs/>
          <w:color w:val="1A3C6E"/>
        </w:rPr>
        <w:t xml:space="preserve">IDI — 行业发展指数（新增）</w:t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IDI 基于：(1) 该职业所在行业在该城市的就业增长率（近 3 年）；(2) 该城市在该行业的全国就业份额。例：软件开发 × 渥太华 → IDI 高（联邦政府数字化投资持续）；石油工程师 × 卡尔加里 → IDI 高（AB 省能源行业占全国主导）。</w:t>
      </w:r>
    </w:p>
    <w:p>
      <w:pPr>
        <w:pStyle w:val="Heading3"/>
        <w:spacing w:after="120" w:before="200"/>
      </w:pPr>
      <w:r>
        <w:rPr>
          <w:b/>
          <w:bCs/>
          <w:color w:val="1A3C6E"/>
        </w:rPr>
        <w:t xml:space="preserve">CMI — 职业流动指数（新增）</w:t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CMI 由三个可量化指标组成：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管理岗比例：该城市该职业中管理层岗位占比（StatCan NOC 职业分类）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高薪岗密度：每千名从业者中年薪超 $100K 岗位数量（LFS）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新创企业密度：每千名劳动力中 5 年内新创企业数量（BDC / StatCan）</w:t>
      </w:r>
    </w:p>
    <w:p>
      <w:pPr>
        <w:pStyle w:val="Heading3"/>
        <w:spacing w:after="120" w:before="200"/>
      </w:pPr>
      <w:r>
        <w:rPr>
          <w:b/>
          <w:bCs/>
          <w:color w:val="1A3C6E"/>
        </w:rPr>
        <w:t xml:space="preserve">DCI — 日常消费指数（由 CLI 改名，解决 Double Counting 问题）</w:t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这是 v4.2 最重要的方法论修正之一。原 CLI（Cost of Living Index）按国际通行定义（Numbeo 标准）包含住房、租金、交通等项目，但 CityCity 框架中这些项目已由 HPI、RPI、TCI 单独覆盖，造成 Double Counting（重复计算）：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覆盖范围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DCI 是否包含？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HPI  住房可负担性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房价 / 按揭成本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B85C00"/>
                <w:sz w:val="20"/>
                <w:szCs w:val="20"/>
              </w:rPr>
              <w:t xml:space="preserve">❌ 明确排除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RPI  租房可负担性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租金支出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B85C00"/>
                <w:sz w:val="20"/>
                <w:szCs w:val="20"/>
              </w:rPr>
              <w:t xml:space="preserve">❌ 明确排除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TCI  交通便利指数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公共交通/步行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B85C00"/>
                <w:sz w:val="20"/>
                <w:szCs w:val="20"/>
              </w:rPr>
              <w:t xml:space="preserve">❌ 明确排除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HAI  医疗可及指数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等待时间/可及性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B85C00"/>
                <w:sz w:val="20"/>
                <w:szCs w:val="20"/>
              </w:rPr>
              <w:t xml:space="preserve">❌ 明确排除（医疗在加拿大几乎零直接成本）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DCI  日常消费指数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食品/餐饮/娱乐/日用品/手机/网络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1E6B3C"/>
                <w:sz w:val="20"/>
                <w:szCs w:val="20"/>
              </w:rPr>
              <w:t xml:space="preserve">✓ 仅此范围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DCI 的数据来源：StatCan 家庭支出调查（SHS），城市分类的食品、餐饮、服装、娱乐、通讯支出数据，明确排除住房和交通之后的"纯日常现金支出篮子"。这使 CityCity 的指数设计比 Numbeo 更严谨，向专业用户和 B 端合作方传递更强的方法论可信度。</w:t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同时，DCI 权重从 8 降至 4，避免对城市间日常消费差异（往往仅 15–20%）的过度放大。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A3C6E"/>
        </w:rPr>
        <w:t xml:space="preserve">4. 首页 UX 设计规范</w:t>
      </w:r>
    </w:p>
    <w:p>
      <w:pPr>
        <w:pBdr>
          <w:bottom w:val="single" w:color="2E75B6" w:sz="4" w:space="1"/>
        </w:pBdr>
        <w:spacing w:after="200" w:before="10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2E75B6"/>
        </w:rPr>
        <w:t xml:space="preserve">4.1 首页诊断（v3.6 现状）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评分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核心问题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视觉设计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E6B3C"/>
                <w:sz w:val="20"/>
                <w:szCs w:val="20"/>
              </w:rPr>
              <w:t xml:space="preserve">9 / 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交互地球仪差异化强，品牌气质对标 Bloomberg / Visual Capitalist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产品表达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B85C00"/>
                <w:sz w:val="20"/>
                <w:szCs w:val="20"/>
              </w:rPr>
              <w:t xml:space="preserve">6 / 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用户无法在 3 秒内判断这是什么产品、能解决什么问题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转化能力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B85C00"/>
                <w:sz w:val="20"/>
                <w:szCs w:val="20"/>
              </w:rPr>
              <w:t xml:space="preserve">5 / 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无明确 CTA，职业×城市核心价值未在首屏传递，用户无行动路径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2E75B6"/>
        </w:rPr>
        <w:t xml:space="preserve">4.2 根本问题分析</w:t>
      </w:r>
    </w:p>
    <w:p>
      <w:pPr>
        <w:pStyle w:val="Heading3"/>
        <w:spacing w:after="120" w:before="200"/>
      </w:pPr>
      <w:r>
        <w:rPr>
          <w:b/>
          <w:bCs/>
          <w:color w:val="1A3C6E"/>
        </w:rPr>
        <w:t xml:space="preserve">问题 1：缺少 Hero Statement</w:t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用户打开首页看到地球仪和城市点，脑中出现的问题是："这是地图？旅游网站？城市百科？"——没有一句话告诉用户"这是职业×城市决策工具"。</w:t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对比 Visual Capitalist：每张图都有一句结论（"The World's Most Expensive Cities"），用户秒懂内容方向。CityCity 需要等效的 Hero Statement。</w:t>
      </w:r>
    </w:p>
    <w:p>
      <w:pPr>
        <w:pStyle w:val="Heading3"/>
        <w:spacing w:after="120" w:before="200"/>
      </w:pPr>
      <w:r>
        <w:rPr>
          <w:b/>
          <w:bCs/>
          <w:color w:val="1A3C6E"/>
        </w:rPr>
        <w:t xml:space="preserve">问题 2：城市点过于安静</w:t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五个城市点静止分布在地球上，没有任何数据展示，无法激发"为什么要点击"的好奇心。用户需要看到数据差异才会产生探索冲动。</w:t>
      </w:r>
    </w:p>
    <w:p>
      <w:pPr>
        <w:pStyle w:val="Heading3"/>
        <w:spacing w:after="120" w:before="200"/>
      </w:pPr>
      <w:r>
        <w:rPr>
          <w:b/>
          <w:bCs/>
          <w:color w:val="1A3C6E"/>
        </w:rPr>
        <w:t xml:space="preserve">问题 3：最核心的产品价值（职业维度）在首屏完全不可见</w:t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用户会误以为这是另一个 Numbeo——通用城市数据库。"职业决定城市体验"这个核心差异化从未出现在首屏。</w:t>
      </w:r>
    </w:p>
    <w:p>
      <w:pPr>
        <w:pStyle w:val="Heading3"/>
        <w:spacing w:after="120" w:before="200"/>
      </w:pPr>
      <w:r>
        <w:rPr>
          <w:b/>
          <w:bCs/>
          <w:color w:val="1A3C6E"/>
        </w:rPr>
        <w:t xml:space="preserve">问题 4：缺少病毒传播钩子</w:t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人对结论产生兴趣，不对地图产生兴趣。"电工在卡尔加里买房速度比温哥华快 2.8 倍"这类结论性洞察会被截图分享，是零成本传播的核心。</w:t>
      </w:r>
    </w:p>
    <w:p>
      <w:pPr>
        <w:pStyle w:val="Heading2"/>
        <w:spacing w:after="160" w:before="280"/>
      </w:pPr>
      <w:r>
        <w:rPr>
          <w:b/>
          <w:bCs/>
          <w:color w:val="2E75B6"/>
        </w:rPr>
        <w:t xml:space="preserve">4.3 v4.2 首页重设计方案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60"/>
        <w:gridCol w:w="3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设计目标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A3C6E"/>
                <w:sz w:val="20"/>
                <w:szCs w:val="20"/>
              </w:rPr>
              <w:t xml:space="preserve">Nav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Logo + 排行榜/城市对比/算成本/订阅 + 语言切换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6B7280"/>
                <w:sz w:val="20"/>
                <w:szCs w:val="20"/>
              </w:rPr>
              <w:t xml:space="preserve">品牌识别，快速跳转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A3C6E"/>
                <w:sz w:val="20"/>
                <w:szCs w:val="20"/>
              </w:rPr>
              <w:t xml:space="preserve">Hero Statement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标题：找到最适合你职业的城市
副标题：同一个城市，电工和零售员的体验可以相差两倍
职业选择器 + 城市选择器 + [查看我的匹配]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6B7280"/>
                <w:sz w:val="20"/>
                <w:szCs w:val="20"/>
              </w:rPr>
              <w:t xml:space="preserve">3秒传达产品价值 + 即时卷入用户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A3C6E"/>
                <w:sz w:val="20"/>
                <w:szCs w:val="20"/>
              </w:rPr>
              <w:t xml:space="preserve">交互地球仪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D3.js正射投影地球，城市点带数据气泡（默认显示买房年数），悬停切换城市详情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6B7280"/>
                <w:sz w:val="20"/>
                <w:szCs w:val="20"/>
              </w:rPr>
              <w:t xml:space="preserve">视觉差异化，探索驱动点击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A3C6E"/>
                <w:sz w:val="20"/>
                <w:szCs w:val="20"/>
              </w:rPr>
              <w:t xml:space="preserve">今日发现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3条轮播职业洞察，例：电工在卡尔加里买房速度比温哥华快2.8倍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6B7280"/>
                <w:sz w:val="20"/>
                <w:szCs w:val="20"/>
              </w:rPr>
              <w:t xml:space="preserve">病毒传播钩子，数据驱动好奇心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A3C6E"/>
                <w:sz w:val="20"/>
                <w:szCs w:val="20"/>
              </w:rPr>
              <w:t xml:space="preserve">热门对比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职业前置格式：电工：温哥华 vs 卡尔加里 / 护士：多伦多 vs 渥太华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6B7280"/>
                <w:sz w:val="20"/>
                <w:szCs w:val="20"/>
              </w:rPr>
              <w:t xml:space="preserve">引导深度互动，强化职业维度认知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A3C6E"/>
                <w:sz w:val="20"/>
                <w:szCs w:val="20"/>
              </w:rPr>
              <w:t xml:space="preserve">Footer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版权 + 数据来源 + 社交链接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6B7280"/>
                <w:sz w:val="20"/>
                <w:szCs w:val="20"/>
              </w:rPr>
              <w:t xml:space="preserve">信任背书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20" w:before="200"/>
      </w:pPr>
      <w:r>
        <w:rPr>
          <w:b/>
          <w:bCs/>
          <w:color w:val="1A3C6E"/>
        </w:rPr>
        <w:t xml:space="preserve">Hero Statement 设计</w:t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标题（H1）：找到最适合你职业的城市</w:t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副标题：同一个城市，电工和零售员的体验可以相差两倍</w:t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核心 CTA — 职业选择器（不是普通按钮）：</w:t>
      </w:r>
    </w:p>
    <w:p>
      <w:pPr>
        <w:spacing w:after="200" w:before="120"/>
        <w:ind w:left="720"/>
      </w:pPr>
      <w:r>
        <w:rPr>
          <w:b/>
          <w:bCs/>
          <w:color w:val="1A3C6E"/>
          <w:sz w:val="24"/>
          <w:szCs w:val="24"/>
        </w:rPr>
        <w:t xml:space="preserve">我是 [职业 ▼]，正在考虑去 [城市 ▼]  →  [查看我的匹配]</w:t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设计理由：职业选择器让用户第一步就卷入产品逻辑，比任何文案都有说服力。个性化工具的最高效首屏转化模式。</w:t>
      </w:r>
    </w:p>
    <w:p>
      <w:pPr>
        <w:pStyle w:val="Heading3"/>
        <w:spacing w:after="120" w:before="200"/>
      </w:pPr>
      <w:r>
        <w:rPr>
          <w:b/>
          <w:bCs/>
          <w:color w:val="1A3C6E"/>
        </w:rPr>
        <w:t xml:space="preserve">今日发现（Daily Discovery）内容策略</w:t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三种类型的洞察轮播，刷新频率：每周更新（配合数据更新节奏）：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职业×城市型："电工在卡尔加里买房速度比温哥华快 2.8 倍"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税收洞察型："移居 AB 省，年收入 $120K 工程师每年少交税 $22,000"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反直觉型："多伦多软件工程师收入全国最高，但买房压力排名倒数第二"</w:t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设计理由：这类内容会被用户截图分享到微信群、小红书、Reddit r/ImmigrationCanada，是零成本传播的核心机制。</w:t>
      </w:r>
    </w:p>
    <w:p>
      <w:pPr>
        <w:pStyle w:val="Heading3"/>
        <w:spacing w:after="120" w:before="200"/>
      </w:pPr>
      <w:r>
        <w:rPr>
          <w:b/>
          <w:bCs/>
          <w:color w:val="1A3C6E"/>
        </w:rPr>
        <w:t xml:space="preserve">热门对比（Hot Comparisons）设计原则</w:t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所有对比卡片必须职业前置，强化产品核心认知：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✓ 正确：电工：温哥华 vs 卡尔加里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✓ 正确：护士：多伦多 vs 渥太华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✗ 错误：温哥华 vs 卡尔加里（无职业维度，退化为通用城市对比）</w:t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每次用户在首页看到"职业：城市A vs 城市B"格式，都在被教育"这不是 Numbeo，这是职业维度的城市匹配工具"。</w:t>
      </w:r>
    </w:p>
    <w:p>
      <w:pPr>
        <w:pStyle w:val="Heading3"/>
        <w:spacing w:after="120" w:before="200"/>
      </w:pPr>
      <w:r>
        <w:rPr>
          <w:b/>
          <w:bCs/>
          <w:color w:val="1A3C6E"/>
        </w:rPr>
        <w:t xml:space="preserve">地球仪交互优化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默认高亮温哥华，气泡显示"🏠 买房 13.8年"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悬停其他城市时气泡切换（不同时显示所有5个城市的气泡，避免视觉混乱）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点击城市 → 底部滑出详情面板（现有功能保留）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加/减按钮 + 鼠标滚轮缩放（现有功能保留）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A3C6E"/>
        </w:rPr>
        <w:t xml:space="preserve">5. 职业×城市匹配引擎 Occupation Engine</w:t>
      </w:r>
    </w:p>
    <w:p>
      <w:pPr>
        <w:pBdr>
          <w:bottom w:val="single" w:color="2E75B6" w:sz="4" w:space="1"/>
        </w:pBdr>
        <w:spacing w:after="200" w:before="10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2E75B6"/>
        </w:rPr>
        <w:t xml:space="preserve">5.1 职业校准引擎：从城市排名到个人化城市适配</w:t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CityCity 的核心差异化并不在于简单地比较城市，而在于将城市数据重新计算为"职业 × 城市"的个人化适配结果。</w:t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传统城市排行榜通常基于城市平均收入、平均房价、平均租金、平均生活成本等宏观指标。这类数据可以说明一座城市的总体水平，却很难回答一个更真实的问题：</w:t>
      </w:r>
    </w:p>
    <w:p>
      <w:pPr>
        <w:pBdr>
          <w:left w:val="thick" w:color="2E75B6" w:sz="12" w:space="10"/>
        </w:pBdr>
        <w:spacing w:after="200" w:before="200"/>
        <w:ind w:left="400"/>
        <w:jc w:val="center"/>
      </w:pPr>
      <w:r>
        <w:rPr>
          <w:b/>
          <w:bCs/>
          <w:i/>
          <w:iCs/>
          <w:color w:val="1A3C6E"/>
          <w:sz w:val="24"/>
          <w:szCs w:val="24"/>
        </w:rPr>
        <w:t xml:space="preserve">这座城市，对我的职业和收入水平来说，是否真的适合生活？</w:t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因此，CityCity 将住房、租金、收入、税负、通勤、职业机会、成长空间、家庭生活、教育、医疗、气候与环境等核心维度，从单纯的"城市维度"重新计算为"职业 × 城市维度"。</w:t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以住房压力指数 HPI 为例：</w:t>
      </w:r>
    </w:p>
    <w:p>
      <w:pPr>
        <w:spacing w:after="80"/>
        <w:ind w:left="720"/>
      </w:pPr>
      <w:r>
        <w:rPr>
          <w:b/>
          <w:bCs/>
          <w:color w:val="6B7280"/>
          <w:sz w:val="22"/>
          <w:szCs w:val="22"/>
        </w:rPr>
        <w:t xml:space="preserve">通用 HPI</w:t>
      </w:r>
      <w:r>
        <w:rPr>
          <w:sz w:val="22"/>
          <w:szCs w:val="22"/>
        </w:rPr>
        <w:t xml:space="preserve"> = 城市中位房价 / 城市中位收入</w:t>
      </w:r>
    </w:p>
    <w:p>
      <w:pPr>
        <w:spacing w:after="160"/>
        <w:ind w:left="720"/>
      </w:pPr>
      <w:r>
        <w:rPr>
          <w:b/>
          <w:bCs/>
          <w:color w:val="1A3C6E"/>
          <w:sz w:val="22"/>
          <w:szCs w:val="22"/>
        </w:rPr>
        <w:t xml:space="preserve">职业 HPI</w:t>
      </w:r>
      <w:r>
        <w:rPr>
          <w:sz w:val="22"/>
          <w:szCs w:val="22"/>
        </w:rPr>
        <w:t xml:space="preserve"> = 城市中位房价 / 该职业在该城市的中位收入</w:t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这意味着，同样在温哥华，一名软件工程师、一名护士、一名电工和一名零售员工面对的住房压力并不相同。CityCity 输出的不是城市的平均分，而是经过职业收入和职业机会重新校准后的真实适配分。</w:t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HPI 只是这一机制的一个例子。CityCity 的所有核心指数都将尽可能采用职业校准逻辑，使平台能够从"城市百科"升级为"职业人群的城市决策工具"。</w:t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长期愿景：CityCity 将构建"Occupation × City × Time"三维数据矩阵——职业、城市、时间轴趋势三个维度的交叉，是最难被竞争者复制的核心壁垒。</w:t>
      </w:r>
    </w:p>
    <w:p>
      <w:pPr>
        <w:pStyle w:val="Heading2"/>
        <w:spacing w:after="160" w:before="280"/>
      </w:pPr>
      <w:r>
        <w:rPr>
          <w:b/>
          <w:bCs/>
          <w:color w:val="2E75B6"/>
        </w:rPr>
        <w:t xml:space="preserve">5.2 职业分类体系</w:t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CityCity v4.2 采用 Statistics Canada NOC 2021 作为底层职业分类标准，确保职业数据具备统计一致性和可扩展性。前端展示层采用用户容易理解的职业大类：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STEM：软件工程师、数据科学家、土木工程师、电气工程师等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医疗健康：注册护士、LPN、医疗技术员、牙科助理等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蓝领技术工：电工、水管工、HVAC 技术员、建筑工等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商业金融：会计、财务分析师、项目经理、HR 专员等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教育：K-12 教师、大学讲师、早教工作者等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服务业：零售、餐饮、物流、客服等</w:t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后台算法层通过 NOC 2021 进行标准化映射，包括职业代码、TEER 等级、城市级收入、就业增长、岗位需求与长期职业前景数据。v4.2 支持约 40 个高频职业；v5.0 目标扩展至 120+ 个细分职业，覆盖约 95% 的移民与城市迁移常见职业场景。</w:t>
      </w:r>
    </w:p>
    <w:p>
      <w:pPr>
        <w:pStyle w:val="Heading2"/>
        <w:spacing w:after="160" w:before="280"/>
      </w:pPr>
      <w:r>
        <w:rPr>
          <w:b/>
          <w:bCs/>
          <w:color w:val="2E75B6"/>
        </w:rPr>
        <w:t xml:space="preserve">5.3 Calculate 功能流程</w:t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Calculate 是 CityCity 的核心决策功能。用户无需输入复杂资料，只需选择城市、居住目的和职业身份，即可获得基于职业校准的城市适配结果。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选择城市范围：单一城市 / 多城市对比 / 全国城市扫描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选择居住目的：购房 / 租房 / 找工作 / 搬家 / 家庭定居 / 技工就业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选择职业身份：职业大类 → 细分职业 → 经验水平（可选）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系统生成职业校准结果：城市适配综合分 / 税后收入估算 / 住房压力指数 / 租金压力指数 / 职业机会指数 / 成长潜力指数 / 家庭生活适配度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输出关键洞察（自然语言），例如："以电工职业计算，卡尔加里的住房压力显著低于温哥华，但车辆依赖度和冬季气候压力更高。"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可选进入 Compare 模式：对比 2–5 个城市，生成职业搬迁建议</w:t>
      </w:r>
    </w:p>
    <w:p>
      <w:pPr>
        <w:spacing w:after="100"/>
      </w:pPr>
      <w:r>
        <w:t xml:space="preserve"/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通过这一流程，CityCity 将城市数据转化为用户真正能理解的生活决策建议。CityCity 不只是告诉用户"哪个城市排名更高"，而是回答：</w:t>
      </w:r>
    </w:p>
    <w:p>
      <w:pPr>
        <w:pBdr>
          <w:left w:val="thick" w:color="2E75B6" w:sz="12" w:space="10"/>
        </w:pBdr>
        <w:spacing w:after="200" w:before="200"/>
        <w:ind w:left="400"/>
        <w:jc w:val="center"/>
      </w:pPr>
      <w:r>
        <w:rPr>
          <w:b/>
          <w:bCs/>
          <w:i/>
          <w:iCs/>
          <w:color w:val="1A3C6E"/>
          <w:sz w:val="24"/>
          <w:szCs w:val="24"/>
        </w:rPr>
        <w:t xml:space="preserve">对你的职业、收入和生活目标来说，哪座城市更值得选择？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A3C6E"/>
        </w:rPr>
        <w:t xml:space="preserve">6. 数据架构与来源</w:t>
      </w:r>
    </w:p>
    <w:p>
      <w:pPr>
        <w:pBdr>
          <w:bottom w:val="single" w:color="2E75B6" w:sz="4" w:space="1"/>
        </w:pBdr>
        <w:spacing w:after="200" w:before="10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2E75B6"/>
        </w:rPr>
        <w:t xml:space="preserve">6.1 一级数据源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3360"/>
        <w:gridCol w:w="16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数据来源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统计内容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更新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HPI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CMHC 住房市场报告 + MLS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城市×职业买房年数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月度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CMHC 租赁市场调查（RRMS）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城市×卧室数量租金中位数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年度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TAI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CRA 税表 + 省级财政部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省级所得税 + HST/GST 税率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年度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EOI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StatCan LFS 劳动力调查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职业×地区失业率 + 招聘密度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月度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HAI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CIHI + 省级卫生局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等待时间 + 家庭医生可及性比例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年度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SGI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StatCan LFS 季度职业工资数据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3 年复合工资增长率（职业×城市）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季度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IDI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StatCan NAICS 行业就业数据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行业就业增长 × 城市份额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季度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CMI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StatCan NOC + BDC 创业数据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管理岗比例 + 高薪岗密度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年度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EDI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Fraser Institute 学区报告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学区排名 + 高校资源评分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年度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EQI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Health Canada AQI + GIS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AQI + 绿地率 + 饮用水质量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年度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DCI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StatCan SHS 家庭支出调查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食品/餐饮/娱乐/通讯（排除住房交通）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年度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TCI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CUTA 加拿大城市交通协会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公共交通覆盖 + 步行评分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年度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PSI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StatCan UCRC 犯罪统计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暴力 + 财产犯罪率（城市级）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年度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2E75B6"/>
        </w:rPr>
        <w:t xml:space="preserve">6.2 数据更新策略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月度：HPI、EOI、DCI（高权重维度优先保鲜）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季度：SGI、IDI（LFS 季度职业工资数据）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年度：RPI、TAI、HAI、EDI、EQI、TCI、PSI、CMI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A3C6E"/>
        </w:rPr>
        <w:t xml:space="preserve">7. 评分方法论</w:t>
      </w:r>
    </w:p>
    <w:p>
      <w:pPr>
        <w:pBdr>
          <w:bottom w:val="single" w:color="2E75B6" w:sz="4" w:space="1"/>
        </w:pBdr>
        <w:spacing w:after="200" w:before="10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2E75B6"/>
        </w:rPr>
        <w:t xml:space="preserve">7.1 百分位归一化</w:t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所有原始指标通过百分位归一化转换为 0–100 分制，基于加拿大全部 CMAs（人口普查都市区）样本：</w:t>
      </w:r>
    </w:p>
    <w:p>
      <w:pPr>
        <w:spacing w:after="160"/>
        <w:ind w:left="720"/>
      </w:pPr>
      <w:r>
        <w:rPr>
          <w:b/>
          <w:bCs/>
          <w:color w:val="1A3C6E"/>
          <w:sz w:val="22"/>
          <w:szCs w:val="22"/>
        </w:rPr>
        <w:t xml:space="preserve">维度得分 = (百分位排名 / 100) × 维度满分</w:t>
      </w:r>
    </w:p>
    <w:p>
      <w:pPr>
        <w:pStyle w:val="Heading2"/>
        <w:spacing w:after="160" w:before="280"/>
      </w:pPr>
      <w:r>
        <w:rPr>
          <w:b/>
          <w:bCs/>
          <w:color w:val="2E75B6"/>
        </w:rPr>
        <w:t xml:space="preserve">7.2 职业调整系数</w:t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HPI、RPI、EOI、SGI、IDI、CMI 六个维度应用职业调整系数：</w:t>
      </w:r>
    </w:p>
    <w:p>
      <w:pPr>
        <w:spacing w:after="160"/>
        <w:ind w:left="720"/>
      </w:pPr>
      <w:r>
        <w:rPr>
          <w:b/>
          <w:bCs/>
          <w:color w:val="1A3C6E"/>
          <w:sz w:val="22"/>
          <w:szCs w:val="22"/>
        </w:rPr>
        <w:t xml:space="preserve">职业维度得分 = 基础维度得分 × 职业调整系数</w:t>
      </w:r>
    </w:p>
    <w:p>
      <w:pPr>
        <w:pStyle w:val="Heading2"/>
        <w:spacing w:after="160" w:before="280"/>
      </w:pPr>
      <w:r>
        <w:rPr>
          <w:b/>
          <w:bCs/>
          <w:color w:val="2E75B6"/>
        </w:rPr>
        <w:t xml:space="preserve">7.3 分数解读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61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分数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等级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解读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85–100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2E75B6"/>
                <w:sz w:val="20"/>
                <w:szCs w:val="20"/>
              </w:rPr>
              <w:t xml:space="preserve">极度推荐 ★★★★★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该职业在该城市具有显著竞争优势，可优先考虑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70–84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2E75B6"/>
                <w:sz w:val="20"/>
                <w:szCs w:val="20"/>
              </w:rPr>
              <w:t xml:space="preserve">推荐 ★★★★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综合条件良好，适合大多数该职业从业者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55–69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2E75B6"/>
                <w:sz w:val="20"/>
                <w:szCs w:val="20"/>
              </w:rPr>
              <w:t xml:space="preserve">中性 ★★★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条件一般，需结合个人情况深入分析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40–54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2E75B6"/>
                <w:sz w:val="20"/>
                <w:szCs w:val="20"/>
              </w:rPr>
              <w:t xml:space="preserve">谨慎 ★★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存在较明显短板，建议与其他城市详细对比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0–39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2E75B6"/>
                <w:sz w:val="20"/>
                <w:szCs w:val="20"/>
              </w:rPr>
              <w:t xml:space="preserve">不推荐 ★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该职业在该城市面临系统性劣势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A3C6E"/>
        </w:rPr>
        <w:t xml:space="preserve">8. 核心用户路径与页面规范</w:t>
      </w:r>
    </w:p>
    <w:p>
      <w:pPr>
        <w:pBdr>
          <w:bottom w:val="single" w:color="2E75B6" w:sz="4" w:space="1"/>
        </w:pBdr>
        <w:spacing w:after="200" w:before="10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2E75B6"/>
        </w:rPr>
        <w:t xml:space="preserve">8.1 核心用户路径</w:t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CityCity MVP 设计围绕一条主路径展开，所有页面设计和功能优先级均从此路径推导：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780"/>
        <w:gridCol w:w="278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节点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用户动作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系统响应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进入首页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看到首屏 Hero：职业×城市选择器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6B7280"/>
                <w:sz w:val="18"/>
                <w:szCs w:val="18"/>
              </w:rPr>
              <w:t xml:space="preserve">展示"机会还是陷阱"主标语 + 地球仪 + 今日发现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选择职业城市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从下拉菜单选择职业（如 Electrician）+ 城市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6B7280"/>
                <w:sz w:val="18"/>
                <w:szCs w:val="18"/>
              </w:rPr>
              <w:t xml:space="preserve">进入 Calculate 页，预填职业/城市参数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配置人生场景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选择城市范围 + 人生场景（买房/找工作等）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6B7280"/>
                <w:sz w:val="18"/>
                <w:szCs w:val="18"/>
              </w:rPr>
              <w:t xml:space="preserve">步骤进度条更新，下一步职业细化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确认职业经验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选择职业大类→细分→经验等级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6B7280"/>
                <w:sz w:val="18"/>
                <w:szCs w:val="18"/>
              </w:rPr>
              <w:t xml:space="preserve">后台计算职业×城市适配综合分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查看校准结果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浏览城市适配分卡片 + 5维关键指标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6B7280"/>
                <w:sz w:val="18"/>
                <w:szCs w:val="18"/>
              </w:rPr>
              <w:t xml:space="preserve">生成 HPI/RPI/TAI/EOI/成长潜力 + 关键洞察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阅读关键洞察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读懂"为什么"，而非只看分数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6B7280"/>
                <w:sz w:val="18"/>
                <w:szCs w:val="18"/>
              </w:rPr>
              <w:t xml:space="preserve">自然语言洞察：住房压力/税负/机会说明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进入 Compare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点击"进入对比模式"（可选）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6B7280"/>
                <w:sz w:val="18"/>
                <w:szCs w:val="18"/>
              </w:rPr>
              <w:t xml:space="preserve">多城市并排对比视图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订阅报告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留下邮件，订阅职业×城市定期更新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6B7280"/>
                <w:sz w:val="18"/>
                <w:szCs w:val="18"/>
              </w:rPr>
              <w:t xml:space="preserve">进入 Subscribe 流程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2E75B6"/>
        </w:rPr>
        <w:t xml:space="preserve">8.2 Calculate 页具体输出模板</w:t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用户完成 3 步输入后，系统生成以下标准化输出（以 电工 × 温哥华 × 买房 为例）：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输出模块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示例值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城市适配综合分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68 / 100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6B7280"/>
                <w:sz w:val="18"/>
                <w:szCs w:val="18"/>
              </w:rPr>
              <w:t xml:space="preserve">基于 HPI/RPI/TAI/EOI/成长潜力 加权合成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买房压力 HPI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13.8年收入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6B7280"/>
                <w:sz w:val="18"/>
                <w:szCs w:val="18"/>
              </w:rPr>
              <w:t xml:space="preserve">温哥华 2BR 公寓中位价 ÷ 电工年收入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租房压力 RPI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41%收入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6B7280"/>
                <w:sz w:val="18"/>
                <w:szCs w:val="18"/>
              </w:rPr>
              <w:t xml:space="preserve">温哥华中位租金 ÷ 电工月收入 × 12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就业机会 EOI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80 / 100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6B7280"/>
                <w:sz w:val="18"/>
                <w:szCs w:val="18"/>
              </w:rPr>
              <w:t xml:space="preserve">温哥华电工岗位密度 + 招聘需求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税收优势 TAI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72 / 100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6B7280"/>
                <w:sz w:val="18"/>
                <w:szCs w:val="18"/>
              </w:rPr>
              <w:t xml:space="preserve">BC省 GST 5% + PST 7%，所得税中等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成长潜力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68 / 100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6B7280"/>
                <w:sz w:val="18"/>
                <w:szCs w:val="18"/>
              </w:rPr>
              <w:t xml:space="preserve">SGI × 0.4 + IDI × 0.35 + CMI × 0.25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一句话建议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（自动生成）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6B7280"/>
                <w:sz w:val="18"/>
                <w:szCs w:val="18"/>
              </w:rPr>
              <w:t xml:space="preserve">"温哥华适合有稳定工会收入或双收入家庭的电工，但单收入快速买房目标压力极大，建议对比卡尔加里。"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2E75B6"/>
        </w:rPr>
        <w:t xml:space="preserve">8.3 数据置信度标记</w:t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CityCity v4.2 MVP 阶段部分维度使用估算值。为保持透明度和专业性，每个维度标注置信等级：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2760"/>
        <w:gridCol w:w="36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标记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E6B3C"/>
                <w:sz w:val="20"/>
                <w:szCs w:val="20"/>
              </w:rPr>
              <w:t xml:space="preserve">✅ Verified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已验证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HPI · RPI · TAI · EOI · HAI · EDI · EQI · TCI · PSI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6B7280"/>
                <w:sz w:val="18"/>
                <w:szCs w:val="18"/>
              </w:rPr>
              <w:t xml:space="preserve">直接来自官方数据源（StatCan/CMHC/CIHI），方法论公开可复现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E6B3C"/>
                <w:sz w:val="20"/>
                <w:szCs w:val="20"/>
              </w:rPr>
              <w:t xml:space="preserve">📊 Estimated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估算值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DCI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6B7280"/>
                <w:sz w:val="18"/>
                <w:szCs w:val="18"/>
              </w:rPr>
              <w:t xml:space="preserve">基于 StatCan SHS 宏观数据，城市级估算，误差±10%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E6B3C"/>
                <w:sz w:val="20"/>
                <w:szCs w:val="20"/>
              </w:rPr>
              <w:t xml:space="preserve">🔬 Beta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Beta数据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SGI · IDI · CMI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6B7280"/>
                <w:sz w:val="18"/>
                <w:szCs w:val="18"/>
              </w:rPr>
              <w:t xml:space="preserve">基于职业×城市收入增长趋势推算，v4.5 接入 LFS 季度数据后升级为 Verified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数据置信度标记将在产品 UI 中以小图标形式显示，帮助用户理解哪些数字是精确数据，哪些是模型估算。</w:t>
      </w:r>
    </w:p>
    <w:p>
      <w:pPr>
        <w:spacing w:after="20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2E75B6"/>
        </w:rPr>
        <w:t xml:space="preserve">8.4 MVP 范围明确切割</w:t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CityCity 产品范围在各版本之间应有严格边界，避免范围蔓延影响 MVP 上线质量：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功能模块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v4.2 MVP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推迟版本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城市覆盖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1E6B3C"/>
                <w:sz w:val="20"/>
                <w:szCs w:val="20"/>
              </w:rPr>
              <w:t xml:space="preserve">✅ 5个城市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6B7280"/>
                <w:sz w:val="18"/>
                <w:szCs w:val="18"/>
              </w:rPr>
              <w:t xml:space="preserve">v5.0 扩展至埃德蒙顿/温尼伯/哈利法克斯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职业覆盖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1E6B3C"/>
                <w:sz w:val="20"/>
                <w:szCs w:val="20"/>
              </w:rPr>
              <w:t xml:space="preserve">✅ 10–15个高频职业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6B7280"/>
                <w:sz w:val="18"/>
                <w:szCs w:val="18"/>
              </w:rPr>
              <w:t xml:space="preserve">v4.5 扩展至 80+，v5.0 至 120+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核心维度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1E6B3C"/>
                <w:sz w:val="20"/>
                <w:szCs w:val="20"/>
              </w:rPr>
              <w:t xml:space="preserve">✅ 6个核心维度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6B7280"/>
                <w:sz w:val="18"/>
                <w:szCs w:val="18"/>
              </w:rPr>
              <w:t xml:space="preserve">HPI/RPI/TAI/EOI/EQI/EDI（其余维度展示但不纳入主评分）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首页职业选择器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1E6B3C"/>
                <w:sz w:val="20"/>
                <w:szCs w:val="20"/>
              </w:rPr>
              <w:t xml:space="preserve">✅ 必做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6B7280"/>
                <w:sz w:val="18"/>
                <w:szCs w:val="18"/>
              </w:rPr>
              <w:t xml:space="preserve">——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Calculate流程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1E6B3C"/>
                <w:sz w:val="20"/>
                <w:szCs w:val="20"/>
              </w:rPr>
              <w:t xml:space="preserve">✅ 3步精简版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6B7280"/>
                <w:sz w:val="18"/>
                <w:szCs w:val="18"/>
              </w:rPr>
              <w:t xml:space="preserve">6步完整版（v4.5）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Compare 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1E6B3C"/>
                <w:sz w:val="20"/>
                <w:szCs w:val="20"/>
              </w:rPr>
              <w:t xml:space="preserve">✅ 2城市对比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6B7280"/>
                <w:sz w:val="18"/>
                <w:szCs w:val="18"/>
              </w:rPr>
              <w:t xml:space="preserve">3城市同屏对比（v4.5）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订阅功能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1E6B3C"/>
                <w:sz w:val="20"/>
                <w:szCs w:val="20"/>
              </w:rPr>
              <w:t xml:space="preserve">✅ 邮件收集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6B7280"/>
                <w:sz w:val="18"/>
                <w:szCs w:val="18"/>
              </w:rPr>
              <w:t xml:space="preserve">自动化定期报告（v4.5）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英文版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B85C00"/>
                <w:sz w:val="20"/>
                <w:szCs w:val="20"/>
              </w:rPr>
              <w:t xml:space="preserve">❌ 推迟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6B7280"/>
                <w:sz w:val="18"/>
                <w:szCs w:val="18"/>
              </w:rPr>
              <w:t xml:space="preserve">v5.0 完整上线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Family Mode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B85C00"/>
                <w:sz w:val="20"/>
                <w:szCs w:val="20"/>
              </w:rPr>
              <w:t xml:space="preserve">❌ 推迟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6B7280"/>
                <w:sz w:val="18"/>
                <w:szCs w:val="18"/>
              </w:rPr>
              <w:t xml:space="preserve">v5.0 新增 CFI 维度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数据可信度标记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1E6B3C"/>
                <w:sz w:val="20"/>
                <w:szCs w:val="20"/>
              </w:rPr>
              <w:t xml:space="preserve">✅ 静态标注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6B7280"/>
                <w:sz w:val="18"/>
                <w:szCs w:val="18"/>
              </w:rPr>
              <w:t xml:space="preserve">v4.5 动态更新时间戳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B端 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B85C00"/>
                <w:sz w:val="20"/>
                <w:szCs w:val="20"/>
              </w:rPr>
              <w:t xml:space="preserve">❌ 推迟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6B7280"/>
                <w:sz w:val="18"/>
                <w:szCs w:val="18"/>
              </w:rPr>
              <w:t xml:space="preserve">v6.0 开放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用户评论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B85C00"/>
                <w:sz w:val="20"/>
                <w:szCs w:val="20"/>
              </w:rPr>
              <w:t xml:space="preserve">❌ 推迟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6B7280"/>
                <w:sz w:val="18"/>
                <w:szCs w:val="18"/>
              </w:rPr>
              <w:t xml:space="preserve">v6.0 Glassdoor 模型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A3C6E"/>
        </w:rPr>
        <w:t xml:space="preserve">9. 产品路线图</w:t>
      </w:r>
    </w:p>
    <w:p>
      <w:pPr>
        <w:pBdr>
          <w:bottom w:val="single" w:color="2E75B6" w:sz="4" w:space="1"/>
        </w:pBdr>
        <w:spacing w:after="200" w:before="10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2E75B6"/>
        </w:rPr>
        <w:t xml:space="preserve">v4.2（当前）— 框架完善 + Calculate 产品化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TAI 替代 CPI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Growth Layer（SGI + IDI + CMI）上线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HAI 取代 HCI（范围收窄至纯医疗可及）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DCI 取代 CLI（明确排除住房/交通，解决 Double Counting）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BC省TAI说明修正：温哥华为 GST 5% + PST 7%（共12%），非HST省份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首页 Hero Statement + 职业选择器 + 今日发现 + 热门对比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Calculate 功能产品化重构：6步骤流程（城市范围→人生场景→职业身份→校准结果→关键洞察→对比模式）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职业×城市适配综合分：实时计算 HPI/RPI/TAI/EOI/成长潜力 加权合成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职业扩展至约 40 个职业，经验等级三档（初/中/高级）校准</w:t>
      </w:r>
    </w:p>
    <w:p>
      <w:pPr>
        <w:pStyle w:val="Heading2"/>
        <w:spacing w:after="160" w:before="280"/>
      </w:pPr>
      <w:r>
        <w:rPr>
          <w:b/>
          <w:bCs/>
          <w:color w:val="2E75B6"/>
        </w:rPr>
        <w:t xml:space="preserve">v4.5（2026 Q3）— 数据深化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SGI/IDI/CMI 实际数据接入（替代估算值）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职业扩展至 80+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订阅功能：按职业×城市维度数据更新邮件通知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今日发现内容自动化生成（模板 × 实时数据）</w:t>
      </w:r>
    </w:p>
    <w:p>
      <w:pPr>
        <w:pStyle w:val="Heading2"/>
        <w:spacing w:after="160" w:before="280"/>
      </w:pPr>
      <w:r>
        <w:rPr>
          <w:b/>
          <w:bCs/>
          <w:color w:val="2E75B6"/>
        </w:rPr>
        <w:t xml:space="preserve">v5.0（2026 Q4）— Family Mode + 英文版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Family Mode：新增 CFI（Community &amp; Family Index），覆盖托儿所可及性、学区质量、双语教育、儿科等待时间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Family Mode 框架：Survival(50) / Growth(15) / Life(15) / Family(20)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英文版全功能上线（/en 路由）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API 开放（B 端移民律所/猎头）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城市扩展：埃德蒙顿、温尼伯、哈利法克斯</w:t>
      </w:r>
    </w:p>
    <w:p>
      <w:pPr>
        <w:pStyle w:val="Heading2"/>
        <w:spacing w:after="160" w:before="280"/>
      </w:pPr>
      <w:r>
        <w:rPr>
          <w:b/>
          <w:bCs/>
          <w:color w:val="2E75B6"/>
        </w:rPr>
        <w:t xml:space="preserve">v6.0（2027 Q1）— 社区 + SaaS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用户评论：实名职业×城市经历分享（Glassdoor 模型）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企业 SaaS：为雇主提供候选人城市偏好分析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Premium 订阅 CAD $9.9/月：高级数据、历史对比、报告导出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A3C6E"/>
        </w:rPr>
        <w:t xml:space="preserve">10. 技术架构</w:t>
      </w:r>
    </w:p>
    <w:p>
      <w:pPr>
        <w:pBdr>
          <w:bottom w:val="single" w:color="2E75B6" w:sz="4" w:space="1"/>
        </w:pBdr>
        <w:spacing w:after="200" w:before="10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2E75B6"/>
        </w:rPr>
        <w:t xml:space="preserve">9.1 技术栈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前端：Next.js 16.2.6 (App Router) + React 19.2.4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样式：Tailwind CSS v4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数据库：Supabase PostgreSQL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部署：Vercel（GitHub main 分支自动部署）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地球仪：D3.js v7 + TopoJSON + Canvas 2D API（正射投影）</w:t>
      </w:r>
    </w:p>
    <w:p>
      <w:pPr>
        <w:pStyle w:val="Heading2"/>
        <w:spacing w:after="160" w:before="280"/>
      </w:pPr>
      <w:r>
        <w:rPr>
          <w:b/>
          <w:bCs/>
          <w:color w:val="2E75B6"/>
        </w:rPr>
        <w:t xml:space="preserve">9.2 路由结构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/ — 首页（交互地球仪 + Hero + 今日发现 + 热门对比）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/city/[slug] — 城市详情页（含住房计算器）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/ranking — 城市排行榜（支持职业筛选，含 TAI 维度）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/compare — 城市对比（最多三城同时对比）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/calculate — 算成本（6步职业×城市匹配，含校准结果与洞察）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/subscribe — 订阅页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/en — 英文版（v5.0 完整上线）</w:t>
      </w:r>
    </w:p>
    <w:p>
      <w:pPr>
        <w:pStyle w:val="Heading2"/>
        <w:spacing w:after="160" w:before="280"/>
      </w:pPr>
      <w:r>
        <w:rPr>
          <w:b/>
          <w:bCs/>
          <w:color w:val="2E75B6"/>
        </w:rPr>
        <w:t xml:space="preserve">9.3 数据层迁移规划</w:t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v4.2：TypeScript 静态对象（适合 MVP 快速迭代）。v4.5：迁移至 Supabase 动态数据，支持维度级别独立更新、职业×城市矩阵查询（复合索引）、历史数据存储。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A3C6E"/>
        </w:rPr>
        <w:t xml:space="preserve">11. 附录</w:t>
      </w:r>
    </w:p>
    <w:p>
      <w:pPr>
        <w:pBdr>
          <w:bottom w:val="single" w:color="2E75B6" w:sz="4" w:space="1"/>
        </w:pBdr>
        <w:spacing w:after="200" w:before="10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2E75B6"/>
        </w:rPr>
        <w:t xml:space="preserve">11.1 v3.6 → v4.2 变更对比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变更项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v3.6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v4.2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总维度数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10个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1A3C6E"/>
                <w:sz w:val="20"/>
                <w:szCs w:val="20"/>
              </w:rPr>
              <w:t xml:space="preserve">13个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框架层级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单层加权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1A3C6E"/>
                <w:sz w:val="20"/>
                <w:szCs w:val="20"/>
              </w:rPr>
              <w:t xml:space="preserve">三层：生存(60) / 增长(20) / 生活(20)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税收维度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无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1A3C6E"/>
                <w:sz w:val="20"/>
                <w:szCs w:val="20"/>
              </w:rPr>
              <w:t xml:space="preserve">TAI 税收优势指数 5分（新增）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增长类维度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无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1A3C6E"/>
                <w:sz w:val="20"/>
                <w:szCs w:val="20"/>
              </w:rPr>
              <w:t xml:space="preserve">SGI(8) + IDI(7) + CMI(5)（新增增长层）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CPI 消费价格指数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包含（8分）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1A3C6E"/>
                <w:sz w:val="20"/>
                <w:szCs w:val="20"/>
              </w:rPr>
              <w:t xml:space="preserve">删除（逻辑缺陷：衡量通胀速率非成本绝对值）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HCI 名称与范围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Health &amp; Education Index（含教育，与EDI重叠）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1A3C6E"/>
                <w:sz w:val="20"/>
                <w:szCs w:val="20"/>
              </w:rPr>
              <w:t xml:space="preserve">HAI — Healthcare Access Index（仅医疗，范围干净）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CLI → DCI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Cost of Living Index 8分（与HPI/RPI/TCI重复计算）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1A3C6E"/>
                <w:sz w:val="20"/>
                <w:szCs w:val="20"/>
              </w:rPr>
              <w:t xml:space="preserve">DCI — Daily Cost Index 4分（明确排除住房/交通/医疗）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CLI/DCI 权重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8分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1A3C6E"/>
                <w:sz w:val="20"/>
                <w:szCs w:val="20"/>
              </w:rPr>
              <w:t xml:space="preserve">4分（降权，避免双重计算放大偏差）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职业×城市匹配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基础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1A3C6E"/>
                <w:sz w:val="20"/>
                <w:szCs w:val="20"/>
              </w:rPr>
              <w:t xml:space="preserve">Beta引擎（约40个职业）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首页设计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地球仪（无价值主张）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1A3C6E"/>
                <w:sz w:val="20"/>
                <w:szCs w:val="20"/>
              </w:rPr>
              <w:t xml:space="preserve">Hero + 职业选择器 + 今日发现 + 热门对比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品牌名称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CityCity评分系统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color w:val="1A3C6E"/>
                <w:sz w:val="20"/>
                <w:szCs w:val="20"/>
              </w:rPr>
              <w:t xml:space="preserve">CityCity Life System™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2E75B6"/>
        </w:rPr>
        <w:t xml:space="preserve">11.2 五城市 TAI 得分详解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560"/>
        <w:gridCol w:w="2000"/>
        <w:gridCol w:w="1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城市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省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TAI (/5)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省级所得税（顶级）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消费税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卡尔加里 Calgary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E6B3C"/>
                <w:sz w:val="20"/>
                <w:szCs w:val="20"/>
              </w:rPr>
              <w:t xml:space="preserve">90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无省级销售税(PST)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GST 5%（无PST）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温哥华 Vancouver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BC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72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20.5%顶级边际税率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GST 5% + PST 7%（共12%）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渥太华 Ottawa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68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13.16%顶级边际税率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HST 13%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多伦多 Toronto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68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13.16%顶级边际税率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HST 13%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蒙特利尔 Montreal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QC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B85C00"/>
                <w:sz w:val="20"/>
                <w:szCs w:val="20"/>
              </w:rPr>
              <w:t xml:space="preserve">42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25.75%顶级边际税率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GST+QST 14.975%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60"/>
        <w:jc w:val="left"/>
      </w:pPr>
      <w:r>
        <w:rPr>
          <w:color w:val="111827"/>
          <w:sz w:val="22"/>
          <w:szCs w:val="22"/>
        </w:rPr>
        <w:t xml:space="preserve">注：对年收入 $120K 的移民，从 QC 迁往 AB 可节省年税负 CAD $22,000 以上。TAI 让这一关键差异在评分中得到量化体现。</w:t>
      </w:r>
    </w:p>
    <w:p>
      <w:pPr>
        <w:pStyle w:val="Heading2"/>
        <w:spacing w:after="160" w:before="280"/>
      </w:pPr>
      <w:r>
        <w:rPr>
          <w:b/>
          <w:bCs/>
          <w:color w:val="2E75B6"/>
        </w:rPr>
        <w:t xml:space="preserve">11.3 术语表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术语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定义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NOC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国家职业分类 National Occupational Classification，Statistics Canada 职业分类标准（2021版）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CMA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人口普查都市区 Census Metropolitan Area，统计加拿大定义的城市统计单元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LFS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劳动力调查 Labour Force Survey，StatCan 月度就业数据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SHS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家庭支出调查 Survey of Household Spending，StatCan，DCI 数据来源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CMHC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加拿大抵押贷款和住房公司 Canada Mortgage and Housing Corporation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CIHI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加拿大卫生信息研究所 Canadian Institute for Health Information，HAI 数据来源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CUTA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加拿大城市交通协会 Canadian Urban Transit Association，TCI 数据来源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UCRC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统一犯罪报告调查 Uniform Crime Reporting Survey，StatCan，PSI 数据来源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HST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统一销售税 Harmonized Sales Tax（ON 13%、NB/NS/NL/PEI 15%）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GST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商品与服务税 Goods and Services Tax（联邦，5%）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QST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魁北克销售税 Quebec Sales Tax（9.975%，与 GST 叠加 = 14.975%）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Double Counting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重复计算：同一经济现象在多个维度中被重复统计，导致权重偏差。v4.2 通过 DCI 定义明确解决此问题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200" w:before="400"/>
        <w:jc w:val="center"/>
      </w:pPr>
      <w:r>
        <w:rPr>
          <w:i/>
          <w:iCs/>
          <w:color w:val="6B7280"/>
          <w:sz w:val="20"/>
          <w:szCs w:val="20"/>
        </w:rPr>
        <w:t xml:space="preserve">— 文件结束 End of Document —</w:t>
      </w:r>
    </w:p>
    <w:p>
      <w:pPr>
        <w:jc w:val="center"/>
      </w:pPr>
      <w:r>
        <w:rPr>
          <w:color w:val="6B7280"/>
          <w:sz w:val="18"/>
          <w:szCs w:val="18"/>
        </w:rPr>
        <w:t xml:space="preserve">CityCity Life System™  |  citycity.org  |  v4.2  |  2026-06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2"/>
      </w:pBdr>
      <w:jc w:val="center"/>
    </w:pPr>
    <w:r>
      <w:rPr>
        <w:color w:val="6B7280"/>
        <w:sz w:val="18"/>
        <w:szCs w:val="18"/>
      </w:rPr>
      <w:t xml:space="preserve">© 2026 CityCity.org  |  第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2"/>
      </w:pBdr>
    </w:pPr>
    <w:r>
      <w:rPr>
        <w:b/>
        <w:bCs/>
        <w:color w:val="1A3C6E"/>
        <w:sz w:val="18"/>
        <w:szCs w:val="18"/>
      </w:rPr>
      <w:t xml:space="preserve">CityCity Life System™  </w:t>
    </w:r>
    <w:r>
      <w:rPr>
        <w:color w:val="6B7280"/>
        <w:sz w:val="18"/>
        <w:szCs w:val="18"/>
      </w:rPr>
      <w:t xml:space="preserve">|  PRD v4.2  |  机密文件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3C6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A3C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2026-06-12T07:43:50.390Z</dcterms:created>
  <dcterms:modified xsi:type="dcterms:W3CDTF">2026-06-12T07:43:50.394Z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