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Calibri" w:cs="Calibri" w:eastAsia="Calibri" w:hAnsi="Calibri"/>
          <w:b/>
          <w:bCs/>
          <w:caps/>
          <w:color w:val="14B8A6"/>
          <w:spacing w:val="40"/>
          <w:sz w:val="18"/>
          <w:szCs w:val="18"/>
        </w:rPr>
        <w:t xml:space="preserve">MODEL TRANSPARENCY</w:t>
      </w:r>
    </w:p>
    <w:p>
      <w:pPr>
        <w:spacing w:after="80"/>
      </w:pPr>
      <w:r>
        <w:rPr>
          <w:rFonts w:ascii="Calibri" w:cs="Calibri" w:eastAsia="Calibri" w:hAnsi="Calibri"/>
          <w:b/>
          <w:bCs/>
          <w:color w:val="111827"/>
          <w:sz w:val="52"/>
          <w:szCs w:val="52"/>
        </w:rPr>
        <w:t xml:space="preserve">Lakive City Intelligence</w:t>
      </w:r>
    </w:p>
    <w:p>
      <w:pPr>
        <w:spacing w:after="200"/>
      </w:pPr>
      <w:r>
        <w:rPr>
          <w:rFonts w:ascii="Calibri" w:cs="Calibri" w:eastAsia="Calibri" w:hAnsi="Calibri"/>
          <w:b w:val="false"/>
          <w:bCs w:val="false"/>
          <w:color w:val="4B5563"/>
          <w:sz w:val="40"/>
          <w:szCs w:val="40"/>
        </w:rPr>
        <w:t xml:space="preserve">Methodology Reference</w:t>
      </w:r>
    </w:p>
    <w:p>
      <w:pPr>
        <w:spacing w:after="560"/>
      </w:pPr>
      <w:r>
        <w:rPr>
          <w:rFonts w:ascii="Calibri" w:cs="Calibri" w:eastAsia="Calibri" w:hAnsi="Calibri"/>
          <w:color w:val="6B7280"/>
          <w:sz w:val="20"/>
          <w:szCs w:val="20"/>
        </w:rPr>
        <w:t xml:space="preserve">Model v4  ·  Platform v5.0  ·  October 2026</w:t>
      </w:r>
    </w:p>
    <w:p>
      <w:pPr>
        <w:pBdr>
          <w:left w:val="single" w:color="14B8A6" w:sz="12" w:space="8"/>
        </w:pBdr>
        <w:spacing w:after="120" w:before="0"/>
        <w:ind w:left="280"/>
      </w:pPr>
      <w:r>
        <w:rPr>
          <w:rFonts w:ascii="Calibri" w:cs="Calibri" w:eastAsia="Calibri" w:hAnsi="Calibri"/>
          <w:i/>
          <w:iCs/>
          <w:color w:val="6B7280"/>
          <w:sz w:val="18"/>
          <w:szCs w:val="18"/>
        </w:rPr>
        <w:t xml:space="preserve">Every number on this site comes from a defined formula applied to public data. This document explains what each indicator measures, where the data comes from, how often it is updated, and where the model falls short. Complete scoring weights are proprietary and are not included; the direction and ordering of each factor are disclosed.</w:t>
      </w:r>
    </w:p>
    <w:p>
      <w:pPr>
        <w:pBdr>
          <w:bottom w:val="single" w:color="E5E7EB" w:sz="2" w:space="4"/>
        </w:pBdr>
        <w:spacing w:after="200" w:before="200"/>
      </w:pPr>
      <w:r>
        <w:t xml:space="preserve"/>
      </w:r>
    </w:p>
    <w:p>
      <w:pPr>
        <w:pStyle w:val="Heading1"/>
        <w:pBdr>
          <w:bottom w:val="single" w:color="14B8A6" w:sz="6" w:space="6"/>
        </w:pBdr>
        <w:spacing w:after="160" w:before="480"/>
      </w:pPr>
      <w:r>
        <w:rPr>
          <w:rFonts w:ascii="Calibri" w:cs="Calibri" w:eastAsia="Calibri" w:hAnsi="Calibri"/>
          <w:b/>
          <w:bCs/>
          <w:color w:val="111827"/>
          <w:sz w:val="32"/>
          <w:szCs w:val="32"/>
        </w:rPr>
        <w:t xml:space="preserve">1 · Indicator Definitions</w:t>
      </w:r>
    </w:p>
    <w:p>
      <w:pPr>
        <w:spacing w:after="100" w:line="276" w:lineRule="auto"/>
      </w:pPr>
      <w:r>
        <w:rPr>
          <w:rFonts w:ascii="Calibri" w:cs="Calibri" w:eastAsia="Calibri" w:hAnsi="Calibri"/>
          <w:color w:val="374151"/>
          <w:sz w:val="20"/>
          <w:szCs w:val="20"/>
        </w:rPr>
        <w:t xml:space="preserve">Lakive tracks two housing-affordability metrics and six city-quality indices. Both affordability metrics are occupation-specific and property-type-specific. Five of the six city indices are city-level constants; the exception is EOI, which is computed at the city × occupation level.</w:t>
      </w:r>
    </w:p>
    <w:p>
      <w:pPr>
        <w:spacing w:after="120"/>
      </w:pPr>
      <w:r>
        <w:t xml:space="preserve"/>
      </w:r>
    </w:p>
    <w:p>
      <w:pPr>
        <w:pStyle w:val="Heading2"/>
        <w:spacing w:after="120" w:before="320"/>
      </w:pPr>
      <w:r>
        <w:rPr>
          <w:rFonts w:ascii="Calibri" w:cs="Calibri" w:eastAsia="Calibri" w:hAnsi="Calibri"/>
          <w:b/>
          <w:bCs/>
          <w:color w:val="111827"/>
          <w:sz w:val="24"/>
          <w:szCs w:val="24"/>
        </w:rPr>
        <w:t xml:space="preserve">1.1  Housing Affordability Indicators</w:t>
      </w:r>
    </w:p>
    <w:p>
      <w:pPr>
        <w:pStyle w:val="Heading3"/>
        <w:spacing w:after="80" w:before="200"/>
      </w:pPr>
      <w:r>
        <w:rPr>
          <w:rFonts w:ascii="Calibri" w:cs="Calibri" w:eastAsia="Calibri" w:hAnsi="Calibri"/>
          <w:b/>
          <w:bCs/>
          <w:color w:val="111827"/>
          <w:sz w:val="20"/>
          <w:szCs w:val="20"/>
        </w:rPr>
        <w:t xml:space="preserve">HPI Years — Housing Price Index</w:t>
      </w:r>
    </w:p>
    <w:p>
      <w:pPr>
        <w:spacing w:after="100" w:line="276" w:lineRule="auto"/>
      </w:pPr>
      <w:r>
        <w:rPr>
          <w:rFonts w:ascii="Calibri" w:cs="Calibri" w:eastAsia="Calibri" w:hAnsi="Calibri"/>
          <w:color w:val="374151"/>
          <w:sz w:val="20"/>
          <w:szCs w:val="20"/>
        </w:rPr>
        <w:t xml:space="preserve">Reference property price ÷ gross annual occupational income. A comparative affordability ratio — how many years of full pre-tax income equals the reference price? This is not a purchase timeline; it does not model savings rate, down payment, or mortgage terms. Used cross-city to show relative purchase burden for the same occupation.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rFonts w:ascii="Calibri" w:cs="Calibri" w:eastAsia="Calibri" w:hAnsi="Calibri"/>
                <w:b/>
                <w:bCs/>
                <w:color w:val="FFFFFF"/>
                <w:sz w:val="18"/>
                <w:szCs w:val="18"/>
              </w:rPr>
              <w:t xml:space="preserve">Parameter</w:t>
            </w:r>
          </w:p>
        </w:tc>
        <w:tc>
          <w:tcPr>
            <w:tcW w:type="dxa" w:w="65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Calibri" w:cs="Calibri" w:eastAsia="Calibri" w:hAnsi="Calibri"/>
                <w:b/>
                <w:bCs/>
                <w:color w:val="FFFFFF"/>
                <w:sz w:val="18"/>
                <w:szCs w:val="18"/>
              </w:rPr>
              <w:t xml:space="preserve">Detail</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Calibri" w:cs="Calibri" w:eastAsia="Calibri" w:hAnsi="Calibri"/>
                <w:b/>
                <w:bCs/>
                <w:color w:val="374151"/>
                <w:sz w:val="18"/>
                <w:szCs w:val="18"/>
              </w:rPr>
              <w:t xml:space="preserve">Direction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Lower = less burden</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80"/>
            </w:tcMar>
          </w:tcPr>
          <w:p>
            <w:r>
              <w:rPr>
                <w:rFonts w:ascii="Calibri" w:cs="Calibri" w:eastAsia="Calibri" w:hAnsi="Calibri"/>
                <w:b/>
                <w:bCs/>
                <w:color w:val="374151"/>
                <w:sz w:val="18"/>
                <w:szCs w:val="18"/>
              </w:rPr>
              <w:t xml:space="preserve">Reference price</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City-specific benchmark by property type (1BR · 2BR · 3BR · Townhouse · Detached). Canada: CMHC / CREA composite benchmark. US: Zillow ZHVI / local MLS median.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Calibri" w:cs="Calibri" w:eastAsia="Calibri" w:hAnsi="Calibri"/>
                <w:b/>
                <w:bCs/>
                <w:color w:val="374151"/>
                <w:sz w:val="18"/>
                <w:szCs w:val="18"/>
              </w:rPr>
              <w:t xml:space="preserve">Salary denominator</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Occupation median salary from Statistics Canada LFS (CA) or BLS OES (US). Fixed per city–occupation pair; does not reflect individual variation.</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80"/>
            </w:tcMar>
          </w:tcPr>
          <w:p>
            <w:r>
              <w:rPr>
                <w:rFonts w:ascii="Calibri" w:cs="Calibri" w:eastAsia="Calibri" w:hAnsi="Calibri"/>
                <w:b/>
                <w:bCs/>
                <w:color w:val="374151"/>
                <w:sz w:val="18"/>
                <w:szCs w:val="18"/>
              </w:rPr>
              <w:t xml:space="preserve">CA calibration baseline</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CAD $75,000 — the median salary used to calibrate each city's benchmarkHpi. HPI Years for a given occupation are derived by scaling via (benchmarkSalary ÷ occupationSalary). All 20 occupations carry explicit salary values; no occupation uses $75K as a substitute.</w:t>
            </w:r>
          </w:p>
        </w:tc>
      </w:tr>
    </w:tbl>
    <w:p>
      <w:pPr>
        <w:spacing w:after="120"/>
      </w:pPr>
      <w:r>
        <w:t xml:space="preserve"/>
      </w:r>
    </w:p>
    <w:p>
      <w:pPr>
        <w:spacing w:after="100" w:line="276" w:lineRule="auto"/>
      </w:pPr>
      <w:r>
        <w:rPr>
          <w:rFonts w:ascii="Calibri" w:cs="Calibri" w:eastAsia="Calibri" w:hAnsi="Calibri"/>
          <w:color w:val="374151"/>
          <w:sz w:val="20"/>
          <w:szCs w:val="20"/>
        </w:rPr>
        <w:t xml:space="preserve">HPI Level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60"/>
              <w:left w:type="dxa" w:w="100"/>
              <w:bottom w:type="dxa" w:w="60"/>
              <w:right w:type="dxa" w:w="60"/>
            </w:tcMar>
          </w:tcPr>
          <w:p>
            <w:r>
              <w:rPr>
                <w:rFonts w:ascii="Calibri" w:cs="Calibri" w:eastAsia="Calibri" w:hAnsi="Calibri"/>
                <w:b/>
                <w:bCs/>
                <w:color w:val="FFFFFF"/>
                <w:sz w:val="18"/>
                <w:szCs w:val="18"/>
              </w:rPr>
              <w:t xml:space="preserve">Level</w:t>
            </w:r>
          </w:p>
        </w:tc>
        <w:tc>
          <w:tcPr>
            <w:tcW w:type="dxa" w:w="1600"/>
            <w:tcBorders>
              <w:top w:val="single" w:color="E5E7EB" w:sz="1"/>
              <w:left w:val="single" w:color="E5E7EB" w:sz="1"/>
              <w:bottom w:val="single" w:color="E5E7EB" w:sz="1"/>
              <w:right w:val="single" w:color="E5E7EB" w:sz="1"/>
            </w:tcBorders>
            <w:shd w:fill="1F2937" w:val="clear"/>
            <w:tcMar>
              <w:top w:type="dxa" w:w="60"/>
              <w:left w:type="dxa" w:w="100"/>
              <w:bottom w:type="dxa" w:w="60"/>
              <w:right w:type="dxa" w:w="60"/>
            </w:tcMar>
          </w:tcPr>
          <w:p>
            <w:r>
              <w:rPr>
                <w:rFonts w:ascii="Calibri" w:cs="Calibri" w:eastAsia="Calibri" w:hAnsi="Calibri"/>
                <w:b/>
                <w:bCs/>
                <w:color w:val="FFFFFF"/>
                <w:sz w:val="18"/>
                <w:szCs w:val="18"/>
              </w:rPr>
              <w:t xml:space="preserve">Threshold</w:t>
            </w:r>
          </w:p>
        </w:tc>
        <w:tc>
          <w:tcPr>
            <w:tcW w:type="dxa" w:w="6560"/>
            <w:tcBorders>
              <w:top w:val="single" w:color="E5E7EB" w:sz="1"/>
              <w:left w:val="single" w:color="E5E7EB" w:sz="1"/>
              <w:bottom w:val="single" w:color="E5E7EB" w:sz="1"/>
              <w:right w:val="single" w:color="E5E7EB" w:sz="1"/>
            </w:tcBorders>
            <w:shd w:fill="1F2937" w:val="clear"/>
            <w:tcMar>
              <w:top w:type="dxa" w:w="60"/>
              <w:left w:type="dxa" w:w="100"/>
              <w:bottom w:type="dxa" w:w="60"/>
              <w:right w:type="dxa" w:w="60"/>
            </w:tcMar>
          </w:tcPr>
          <w:p>
            <w:r>
              <w:rPr>
                <w:rFonts w:ascii="Calibri" w:cs="Calibri" w:eastAsia="Calibri" w:hAnsi="Calibri"/>
                <w:b/>
                <w:bCs/>
                <w:color w:val="FFFFFF"/>
                <w:sz w:val="18"/>
                <w:szCs w:val="18"/>
              </w:rPr>
              <w:t xml:space="preserve">Label</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60"/>
            </w:tcMar>
          </w:tcPr>
          <w:p>
            <w:r>
              <w:rPr>
                <w:rFonts w:ascii="Calibri" w:cs="Calibri" w:eastAsia="Calibri" w:hAnsi="Calibri"/>
                <w:b/>
                <w:bCs/>
                <w:color w:val="059669"/>
                <w:sz w:val="18"/>
                <w:szCs w:val="18"/>
              </w:rPr>
              <w:t xml:space="preserve">L1</w:t>
            </w:r>
          </w:p>
        </w:tc>
        <w:tc>
          <w:tcPr>
            <w:tcW w:type="dxa" w:w="1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60"/>
            </w:tcMar>
          </w:tcPr>
          <w:p>
            <w:r>
              <w:rPr>
                <w:rFonts w:ascii="Calibri" w:cs="Calibri" w:eastAsia="Calibri" w:hAnsi="Calibri"/>
                <w:b w:val="false"/>
                <w:bCs w:val="false"/>
                <w:color w:val="374151"/>
                <w:sz w:val="18"/>
                <w:szCs w:val="18"/>
              </w:rPr>
              <w:t xml:space="preserve">≤ 5 yrs</w:t>
            </w:r>
          </w:p>
        </w:tc>
        <w:tc>
          <w:tcPr>
            <w:tcW w:type="dxa" w:w="65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60"/>
            </w:tcMar>
          </w:tcPr>
          <w:p>
            <w:r>
              <w:rPr>
                <w:rFonts w:ascii="Calibri" w:cs="Calibri" w:eastAsia="Calibri" w:hAnsi="Calibri"/>
                <w:b w:val="false"/>
                <w:bCs w:val="false"/>
                <w:color w:val="374151"/>
                <w:sz w:val="18"/>
                <w:szCs w:val="18"/>
              </w:rPr>
              <w:t xml:space="preserve">Low Pressure</w:t>
            </w:r>
          </w:p>
        </w:tc>
      </w:tr>
      <w:tr>
        <w:tc>
          <w:tcPr>
            <w:tcW w:type="dxa" w:w="12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60"/>
            </w:tcMar>
          </w:tcPr>
          <w:p>
            <w:r>
              <w:rPr>
                <w:rFonts w:ascii="Calibri" w:cs="Calibri" w:eastAsia="Calibri" w:hAnsi="Calibri"/>
                <w:b/>
                <w:bCs/>
                <w:color w:val="10B981"/>
                <w:sz w:val="18"/>
                <w:szCs w:val="18"/>
              </w:rPr>
              <w:t xml:space="preserve">L2</w:t>
            </w:r>
          </w:p>
        </w:tc>
        <w:tc>
          <w:tcPr>
            <w:tcW w:type="dxa" w:w="16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60"/>
            </w:tcMar>
          </w:tcPr>
          <w:p>
            <w:r>
              <w:rPr>
                <w:rFonts w:ascii="Calibri" w:cs="Calibri" w:eastAsia="Calibri" w:hAnsi="Calibri"/>
                <w:b w:val="false"/>
                <w:bCs w:val="false"/>
                <w:color w:val="374151"/>
                <w:sz w:val="18"/>
                <w:szCs w:val="18"/>
              </w:rPr>
              <w:t xml:space="preserve">≤ 8 yrs</w:t>
            </w:r>
          </w:p>
        </w:tc>
        <w:tc>
          <w:tcPr>
            <w:tcW w:type="dxa" w:w="65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60"/>
            </w:tcMar>
          </w:tcPr>
          <w:p>
            <w:r>
              <w:rPr>
                <w:rFonts w:ascii="Calibri" w:cs="Calibri" w:eastAsia="Calibri" w:hAnsi="Calibri"/>
                <w:b w:val="false"/>
                <w:bCs w:val="false"/>
                <w:color w:val="374151"/>
                <w:sz w:val="18"/>
                <w:szCs w:val="18"/>
              </w:rPr>
              <w:t xml:space="preserve">Manageable</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60"/>
            </w:tcMar>
          </w:tcPr>
          <w:p>
            <w:r>
              <w:rPr>
                <w:rFonts w:ascii="Calibri" w:cs="Calibri" w:eastAsia="Calibri" w:hAnsi="Calibri"/>
                <w:b/>
                <w:bCs/>
                <w:color w:val="D97706"/>
                <w:sz w:val="18"/>
                <w:szCs w:val="18"/>
              </w:rPr>
              <w:t xml:space="preserve">L3</w:t>
            </w:r>
          </w:p>
        </w:tc>
        <w:tc>
          <w:tcPr>
            <w:tcW w:type="dxa" w:w="1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60"/>
            </w:tcMar>
          </w:tcPr>
          <w:p>
            <w:r>
              <w:rPr>
                <w:rFonts w:ascii="Calibri" w:cs="Calibri" w:eastAsia="Calibri" w:hAnsi="Calibri"/>
                <w:b w:val="false"/>
                <w:bCs w:val="false"/>
                <w:color w:val="374151"/>
                <w:sz w:val="18"/>
                <w:szCs w:val="18"/>
              </w:rPr>
              <w:t xml:space="preserve">≤ 12 yrs</w:t>
            </w:r>
          </w:p>
        </w:tc>
        <w:tc>
          <w:tcPr>
            <w:tcW w:type="dxa" w:w="65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60"/>
            </w:tcMar>
          </w:tcPr>
          <w:p>
            <w:r>
              <w:rPr>
                <w:rFonts w:ascii="Calibri" w:cs="Calibri" w:eastAsia="Calibri" w:hAnsi="Calibri"/>
                <w:b w:val="false"/>
                <w:bCs w:val="false"/>
                <w:color w:val="374151"/>
                <w:sz w:val="18"/>
                <w:szCs w:val="18"/>
              </w:rPr>
              <w:t xml:space="preserve">Under Pressure</w:t>
            </w:r>
          </w:p>
        </w:tc>
      </w:tr>
      <w:tr>
        <w:tc>
          <w:tcPr>
            <w:tcW w:type="dxa" w:w="12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60"/>
            </w:tcMar>
          </w:tcPr>
          <w:p>
            <w:r>
              <w:rPr>
                <w:rFonts w:ascii="Calibri" w:cs="Calibri" w:eastAsia="Calibri" w:hAnsi="Calibri"/>
                <w:b/>
                <w:bCs/>
                <w:color w:val="DC2626"/>
                <w:sz w:val="18"/>
                <w:szCs w:val="18"/>
              </w:rPr>
              <w:t xml:space="preserve">L4</w:t>
            </w:r>
          </w:p>
        </w:tc>
        <w:tc>
          <w:tcPr>
            <w:tcW w:type="dxa" w:w="16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60"/>
            </w:tcMar>
          </w:tcPr>
          <w:p>
            <w:r>
              <w:rPr>
                <w:rFonts w:ascii="Calibri" w:cs="Calibri" w:eastAsia="Calibri" w:hAnsi="Calibri"/>
                <w:b w:val="false"/>
                <w:bCs w:val="false"/>
                <w:color w:val="374151"/>
                <w:sz w:val="18"/>
                <w:szCs w:val="18"/>
              </w:rPr>
              <w:t xml:space="preserve">≤ 18 yrs</w:t>
            </w:r>
          </w:p>
        </w:tc>
        <w:tc>
          <w:tcPr>
            <w:tcW w:type="dxa" w:w="65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60"/>
            </w:tcMar>
          </w:tcPr>
          <w:p>
            <w:r>
              <w:rPr>
                <w:rFonts w:ascii="Calibri" w:cs="Calibri" w:eastAsia="Calibri" w:hAnsi="Calibri"/>
                <w:b w:val="false"/>
                <w:bCs w:val="false"/>
                <w:color w:val="374151"/>
                <w:sz w:val="18"/>
                <w:szCs w:val="18"/>
              </w:rPr>
              <w:t xml:space="preserve">High Pressure</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60"/>
            </w:tcMar>
          </w:tcPr>
          <w:p>
            <w:r>
              <w:rPr>
                <w:rFonts w:ascii="Calibri" w:cs="Calibri" w:eastAsia="Calibri" w:hAnsi="Calibri"/>
                <w:b/>
                <w:bCs/>
                <w:color w:val="DC2626"/>
                <w:sz w:val="18"/>
                <w:szCs w:val="18"/>
              </w:rPr>
              <w:t xml:space="preserve">L5</w:t>
            </w:r>
          </w:p>
        </w:tc>
        <w:tc>
          <w:tcPr>
            <w:tcW w:type="dxa" w:w="1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60"/>
            </w:tcMar>
          </w:tcPr>
          <w:p>
            <w:r>
              <w:rPr>
                <w:rFonts w:ascii="Calibri" w:cs="Calibri" w:eastAsia="Calibri" w:hAnsi="Calibri"/>
                <w:b w:val="false"/>
                <w:bCs w:val="false"/>
                <w:color w:val="374151"/>
                <w:sz w:val="18"/>
                <w:szCs w:val="18"/>
              </w:rPr>
              <w:t xml:space="preserve">&gt; 18 yrs</w:t>
            </w:r>
          </w:p>
        </w:tc>
        <w:tc>
          <w:tcPr>
            <w:tcW w:type="dxa" w:w="65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60"/>
            </w:tcMar>
          </w:tcPr>
          <w:p>
            <w:r>
              <w:rPr>
                <w:rFonts w:ascii="Calibri" w:cs="Calibri" w:eastAsia="Calibri" w:hAnsi="Calibri"/>
                <w:b w:val="false"/>
                <w:bCs w:val="false"/>
                <w:color w:val="374151"/>
                <w:sz w:val="18"/>
                <w:szCs w:val="18"/>
              </w:rPr>
              <w:t xml:space="preserve">Severe</w:t>
            </w:r>
          </w:p>
        </w:tc>
      </w:tr>
    </w:tbl>
    <w:p>
      <w:pPr>
        <w:spacing w:after="240"/>
      </w:pPr>
      <w:r>
        <w:t xml:space="preserve"/>
      </w:r>
    </w:p>
    <w:p>
      <w:pPr>
        <w:pStyle w:val="Heading3"/>
        <w:spacing w:after="80" w:before="200"/>
      </w:pPr>
      <w:r>
        <w:rPr>
          <w:rFonts w:ascii="Calibri" w:cs="Calibri" w:eastAsia="Calibri" w:hAnsi="Calibri"/>
          <w:b/>
          <w:bCs/>
          <w:color w:val="111827"/>
          <w:sz w:val="20"/>
          <w:szCs w:val="20"/>
        </w:rPr>
        <w:t xml:space="preserve">RPI % — Rent Pressure Index</w:t>
      </w:r>
    </w:p>
    <w:p>
      <w:pPr>
        <w:spacing w:after="100" w:line="276" w:lineRule="auto"/>
      </w:pPr>
      <w:r>
        <w:rPr>
          <w:rFonts w:ascii="Calibri" w:cs="Calibri" w:eastAsia="Calibri" w:hAnsi="Calibri"/>
          <w:color w:val="374151"/>
          <w:sz w:val="20"/>
          <w:szCs w:val="20"/>
        </w:rPr>
        <w:t xml:space="preserve">Selected property-type rent × 12 ÷ annual salary × 100. Answers: what share of gross income goes to rent for the selected property type? The 2BR is the base benchmark. Other types apply calibration multipliers derived from observed market relativities. These multipliers are estimates, not sourced directly per city from public data — they reflect typical relative rent differentials across Canadian and US markets.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E5E7EB" w:sz="1"/>
              <w:left w:val="single" w:color="E5E7EB" w:sz="1"/>
              <w:bottom w:val="single" w:color="E5E7EB" w:sz="1"/>
              <w:right w:val="single" w:color="E5E7EB" w:sz="1"/>
            </w:tcBorders>
            <w:shd w:fill="1F2937" w:val="clear"/>
            <w:tcMar>
              <w:top w:type="dxa" w:w="60"/>
              <w:left w:type="dxa" w:w="100"/>
              <w:bottom w:type="dxa" w:w="60"/>
              <w:right w:type="dxa" w:w="60"/>
            </w:tcMar>
          </w:tcPr>
          <w:p>
            <w:r>
              <w:rPr>
                <w:rFonts w:ascii="Calibri" w:cs="Calibri" w:eastAsia="Calibri" w:hAnsi="Calibri"/>
                <w:b/>
                <w:bCs/>
                <w:color w:val="FFFFFF"/>
                <w:sz w:val="18"/>
                <w:szCs w:val="18"/>
              </w:rPr>
              <w:t xml:space="preserve">Property type</w:t>
            </w:r>
          </w:p>
        </w:tc>
        <w:tc>
          <w:tcPr>
            <w:tcW w:type="dxa" w:w="2000"/>
            <w:tcBorders>
              <w:top w:val="single" w:color="E5E7EB" w:sz="1"/>
              <w:left w:val="single" w:color="E5E7EB" w:sz="1"/>
              <w:bottom w:val="single" w:color="E5E7EB" w:sz="1"/>
              <w:right w:val="single" w:color="E5E7EB" w:sz="1"/>
            </w:tcBorders>
            <w:shd w:fill="1F2937" w:val="clear"/>
            <w:tcMar>
              <w:top w:type="dxa" w:w="60"/>
              <w:left w:type="dxa" w:w="100"/>
              <w:bottom w:type="dxa" w:w="60"/>
              <w:right w:type="dxa" w:w="60"/>
            </w:tcMar>
          </w:tcPr>
          <w:p>
            <w:r>
              <w:rPr>
                <w:rFonts w:ascii="Calibri" w:cs="Calibri" w:eastAsia="Calibri" w:hAnsi="Calibri"/>
                <w:b/>
                <w:bCs/>
                <w:color w:val="FFFFFF"/>
                <w:sz w:val="18"/>
                <w:szCs w:val="18"/>
              </w:rPr>
              <w:t xml:space="preserve">Multiplier</w:t>
            </w:r>
          </w:p>
        </w:tc>
        <w:tc>
          <w:tcPr>
            <w:tcW w:type="dxa" w:w="4560"/>
            <w:tcBorders>
              <w:top w:val="single" w:color="E5E7EB" w:sz="1"/>
              <w:left w:val="single" w:color="E5E7EB" w:sz="1"/>
              <w:bottom w:val="single" w:color="E5E7EB" w:sz="1"/>
              <w:right w:val="single" w:color="E5E7EB" w:sz="1"/>
            </w:tcBorders>
            <w:shd w:fill="1F2937" w:val="clear"/>
            <w:tcMar>
              <w:top w:type="dxa" w:w="60"/>
              <w:left w:type="dxa" w:w="100"/>
              <w:bottom w:type="dxa" w:w="60"/>
              <w:right w:type="dxa" w:w="60"/>
            </w:tcMar>
          </w:tcPr>
          <w:p>
            <w:r>
              <w:rPr>
                <w:rFonts w:ascii="Calibri" w:cs="Calibri" w:eastAsia="Calibri" w:hAnsi="Calibri"/>
                <w:b/>
                <w:bCs/>
                <w:color w:val="FFFFFF"/>
                <w:sz w:val="18"/>
                <w:szCs w:val="18"/>
              </w:rPr>
              <w:t xml:space="preserve">Nature</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60"/>
            </w:tcMar>
          </w:tcPr>
          <w:p>
            <w:r>
              <w:rPr>
                <w:rFonts w:ascii="Calibri" w:cs="Calibri" w:eastAsia="Calibri" w:hAnsi="Calibri"/>
                <w:b w:val="false"/>
                <w:bCs w:val="false"/>
                <w:color w:val="374151"/>
                <w:sz w:val="18"/>
                <w:szCs w:val="18"/>
              </w:rPr>
              <w:t xml:space="preserve">1BR</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60"/>
            </w:tcMar>
          </w:tcPr>
          <w:p>
            <w:r>
              <w:rPr>
                <w:rFonts w:ascii="Calibri" w:cs="Calibri" w:eastAsia="Calibri" w:hAnsi="Calibri"/>
                <w:b/>
                <w:bCs/>
                <w:color w:val="14B8A6"/>
                <w:sz w:val="18"/>
                <w:szCs w:val="18"/>
              </w:rPr>
              <w:t xml:space="preserve">0.78×</w:t>
            </w:r>
          </w:p>
        </w:tc>
        <w:tc>
          <w:tcPr>
            <w:tcW w:type="dxa" w:w="45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60"/>
            </w:tcMar>
          </w:tcPr>
          <w:p>
            <w:r>
              <w:rPr>
                <w:rFonts w:ascii="Calibri" w:cs="Calibri" w:eastAsia="Calibri" w:hAnsi="Calibri"/>
                <w:b w:val="false"/>
                <w:bCs w:val="false"/>
                <w:color w:val="374151"/>
                <w:sz w:val="18"/>
                <w:szCs w:val="18"/>
              </w:rPr>
              <w:t xml:space="preserve">Estimate</w:t>
            </w:r>
          </w:p>
        </w:tc>
      </w:tr>
      <w:tr>
        <w:tc>
          <w:tcPr>
            <w:tcW w:type="dxa" w:w="28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60"/>
            </w:tcMar>
          </w:tcPr>
          <w:p>
            <w:r>
              <w:rPr>
                <w:rFonts w:ascii="Calibri" w:cs="Calibri" w:eastAsia="Calibri" w:hAnsi="Calibri"/>
                <w:b w:val="false"/>
                <w:bCs w:val="false"/>
                <w:color w:val="374151"/>
                <w:sz w:val="18"/>
                <w:szCs w:val="18"/>
              </w:rPr>
              <w:t xml:space="preserve">2BR</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60"/>
            </w:tcMar>
          </w:tcPr>
          <w:p>
            <w:r>
              <w:rPr>
                <w:rFonts w:ascii="Calibri" w:cs="Calibri" w:eastAsia="Calibri" w:hAnsi="Calibri"/>
                <w:b/>
                <w:bCs/>
                <w:color w:val="14B8A6"/>
                <w:sz w:val="18"/>
                <w:szCs w:val="18"/>
              </w:rPr>
              <w:t xml:space="preserve">1.00×</w:t>
            </w:r>
          </w:p>
        </w:tc>
        <w:tc>
          <w:tcPr>
            <w:tcW w:type="dxa" w:w="45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60"/>
            </w:tcMar>
          </w:tcPr>
          <w:p>
            <w:r>
              <w:rPr>
                <w:rFonts w:ascii="Calibri" w:cs="Calibri" w:eastAsia="Calibri" w:hAnsi="Calibri"/>
                <w:b w:val="false"/>
                <w:bCs w:val="false"/>
                <w:color w:val="374151"/>
                <w:sz w:val="18"/>
                <w:szCs w:val="18"/>
              </w:rPr>
              <w:t xml:space="preserve">Base benchmark</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60"/>
            </w:tcMar>
          </w:tcPr>
          <w:p>
            <w:r>
              <w:rPr>
                <w:rFonts w:ascii="Calibri" w:cs="Calibri" w:eastAsia="Calibri" w:hAnsi="Calibri"/>
                <w:b w:val="false"/>
                <w:bCs w:val="false"/>
                <w:color w:val="374151"/>
                <w:sz w:val="18"/>
                <w:szCs w:val="18"/>
              </w:rPr>
              <w:t xml:space="preserve">3BR</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60"/>
            </w:tcMar>
          </w:tcPr>
          <w:p>
            <w:r>
              <w:rPr>
                <w:rFonts w:ascii="Calibri" w:cs="Calibri" w:eastAsia="Calibri" w:hAnsi="Calibri"/>
                <w:b/>
                <w:bCs/>
                <w:color w:val="14B8A6"/>
                <w:sz w:val="18"/>
                <w:szCs w:val="18"/>
              </w:rPr>
              <w:t xml:space="preserve">1.35×</w:t>
            </w:r>
          </w:p>
        </w:tc>
        <w:tc>
          <w:tcPr>
            <w:tcW w:type="dxa" w:w="45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60"/>
            </w:tcMar>
          </w:tcPr>
          <w:p>
            <w:r>
              <w:rPr>
                <w:rFonts w:ascii="Calibri" w:cs="Calibri" w:eastAsia="Calibri" w:hAnsi="Calibri"/>
                <w:b w:val="false"/>
                <w:bCs w:val="false"/>
                <w:color w:val="374151"/>
                <w:sz w:val="18"/>
                <w:szCs w:val="18"/>
              </w:rPr>
              <w:t xml:space="preserve">Estimate</w:t>
            </w:r>
          </w:p>
        </w:tc>
      </w:tr>
      <w:tr>
        <w:tc>
          <w:tcPr>
            <w:tcW w:type="dxa" w:w="28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60"/>
            </w:tcMar>
          </w:tcPr>
          <w:p>
            <w:r>
              <w:rPr>
                <w:rFonts w:ascii="Calibri" w:cs="Calibri" w:eastAsia="Calibri" w:hAnsi="Calibri"/>
                <w:b w:val="false"/>
                <w:bCs w:val="false"/>
                <w:color w:val="374151"/>
                <w:sz w:val="18"/>
                <w:szCs w:val="18"/>
              </w:rPr>
              <w:t xml:space="preserve">Townhouse</w:t>
            </w:r>
          </w:p>
        </w:tc>
        <w:tc>
          <w:tcPr>
            <w:tcW w:type="dxa" w:w="2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60"/>
            </w:tcMar>
          </w:tcPr>
          <w:p>
            <w:r>
              <w:rPr>
                <w:rFonts w:ascii="Calibri" w:cs="Calibri" w:eastAsia="Calibri" w:hAnsi="Calibri"/>
                <w:b/>
                <w:bCs/>
                <w:color w:val="14B8A6"/>
                <w:sz w:val="18"/>
                <w:szCs w:val="18"/>
              </w:rPr>
              <w:t xml:space="preserve">1.50×</w:t>
            </w:r>
          </w:p>
        </w:tc>
        <w:tc>
          <w:tcPr>
            <w:tcW w:type="dxa" w:w="45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60"/>
            </w:tcMar>
          </w:tcPr>
          <w:p>
            <w:r>
              <w:rPr>
                <w:rFonts w:ascii="Calibri" w:cs="Calibri" w:eastAsia="Calibri" w:hAnsi="Calibri"/>
                <w:b w:val="false"/>
                <w:bCs w:val="false"/>
                <w:color w:val="374151"/>
                <w:sz w:val="18"/>
                <w:szCs w:val="18"/>
              </w:rPr>
              <w:t xml:space="preserve">Estimate</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60"/>
            </w:tcMar>
          </w:tcPr>
          <w:p>
            <w:r>
              <w:rPr>
                <w:rFonts w:ascii="Calibri" w:cs="Calibri" w:eastAsia="Calibri" w:hAnsi="Calibri"/>
                <w:b w:val="false"/>
                <w:bCs w:val="false"/>
                <w:color w:val="374151"/>
                <w:sz w:val="18"/>
                <w:szCs w:val="18"/>
              </w:rPr>
              <w:t xml:space="preserve">Detached</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60"/>
            </w:tcMar>
          </w:tcPr>
          <w:p>
            <w:r>
              <w:rPr>
                <w:rFonts w:ascii="Calibri" w:cs="Calibri" w:eastAsia="Calibri" w:hAnsi="Calibri"/>
                <w:b/>
                <w:bCs/>
                <w:color w:val="14B8A6"/>
                <w:sz w:val="18"/>
                <w:szCs w:val="18"/>
              </w:rPr>
              <w:t xml:space="preserve">1.65×</w:t>
            </w:r>
          </w:p>
        </w:tc>
        <w:tc>
          <w:tcPr>
            <w:tcW w:type="dxa" w:w="45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60"/>
            </w:tcMar>
          </w:tcPr>
          <w:p>
            <w:r>
              <w:rPr>
                <w:rFonts w:ascii="Calibri" w:cs="Calibri" w:eastAsia="Calibri" w:hAnsi="Calibri"/>
                <w:b w:val="false"/>
                <w:bCs w:val="false"/>
                <w:color w:val="374151"/>
                <w:sz w:val="18"/>
                <w:szCs w:val="18"/>
              </w:rPr>
              <w:t xml:space="preserve">Estimate</w:t>
            </w:r>
          </w:p>
        </w:tc>
      </w:tr>
    </w:tbl>
    <w:p>
      <w:pPr>
        <w:spacing w:after="120"/>
      </w:pPr>
      <w:r>
        <w:t xml:space="preserve"/>
      </w:r>
    </w:p>
    <w:p>
      <w:pPr>
        <w:spacing w:after="100" w:line="276" w:lineRule="auto"/>
      </w:pPr>
      <w:r>
        <w:rPr>
          <w:rFonts w:ascii="Calibri" w:cs="Calibri" w:eastAsia="Calibri" w:hAnsi="Calibri"/>
          <w:color w:val="374151"/>
          <w:sz w:val="20"/>
          <w:szCs w:val="20"/>
        </w:rPr>
        <w:t xml:space="preserve">RPI Level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60"/>
              <w:left w:type="dxa" w:w="100"/>
              <w:bottom w:type="dxa" w:w="60"/>
              <w:right w:type="dxa" w:w="60"/>
            </w:tcMar>
          </w:tcPr>
          <w:p>
            <w:r>
              <w:rPr>
                <w:rFonts w:ascii="Calibri" w:cs="Calibri" w:eastAsia="Calibri" w:hAnsi="Calibri"/>
                <w:b/>
                <w:bCs/>
                <w:color w:val="FFFFFF"/>
                <w:sz w:val="18"/>
                <w:szCs w:val="18"/>
              </w:rPr>
              <w:t xml:space="preserve">Level</w:t>
            </w:r>
          </w:p>
        </w:tc>
        <w:tc>
          <w:tcPr>
            <w:tcW w:type="dxa" w:w="1600"/>
            <w:tcBorders>
              <w:top w:val="single" w:color="E5E7EB" w:sz="1"/>
              <w:left w:val="single" w:color="E5E7EB" w:sz="1"/>
              <w:bottom w:val="single" w:color="E5E7EB" w:sz="1"/>
              <w:right w:val="single" w:color="E5E7EB" w:sz="1"/>
            </w:tcBorders>
            <w:shd w:fill="1F2937" w:val="clear"/>
            <w:tcMar>
              <w:top w:type="dxa" w:w="60"/>
              <w:left w:type="dxa" w:w="100"/>
              <w:bottom w:type="dxa" w:w="60"/>
              <w:right w:type="dxa" w:w="60"/>
            </w:tcMar>
          </w:tcPr>
          <w:p>
            <w:r>
              <w:rPr>
                <w:rFonts w:ascii="Calibri" w:cs="Calibri" w:eastAsia="Calibri" w:hAnsi="Calibri"/>
                <w:b/>
                <w:bCs/>
                <w:color w:val="FFFFFF"/>
                <w:sz w:val="18"/>
                <w:szCs w:val="18"/>
              </w:rPr>
              <w:t xml:space="preserve">Threshold</w:t>
            </w:r>
          </w:p>
        </w:tc>
        <w:tc>
          <w:tcPr>
            <w:tcW w:type="dxa" w:w="6560"/>
            <w:tcBorders>
              <w:top w:val="single" w:color="E5E7EB" w:sz="1"/>
              <w:left w:val="single" w:color="E5E7EB" w:sz="1"/>
              <w:bottom w:val="single" w:color="E5E7EB" w:sz="1"/>
              <w:right w:val="single" w:color="E5E7EB" w:sz="1"/>
            </w:tcBorders>
            <w:shd w:fill="1F2937" w:val="clear"/>
            <w:tcMar>
              <w:top w:type="dxa" w:w="60"/>
              <w:left w:type="dxa" w:w="100"/>
              <w:bottom w:type="dxa" w:w="60"/>
              <w:right w:type="dxa" w:w="60"/>
            </w:tcMar>
          </w:tcPr>
          <w:p>
            <w:r>
              <w:rPr>
                <w:rFonts w:ascii="Calibri" w:cs="Calibri" w:eastAsia="Calibri" w:hAnsi="Calibri"/>
                <w:b/>
                <w:bCs/>
                <w:color w:val="FFFFFF"/>
                <w:sz w:val="18"/>
                <w:szCs w:val="18"/>
              </w:rPr>
              <w:t xml:space="preserve">Label</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60"/>
            </w:tcMar>
          </w:tcPr>
          <w:p>
            <w:r>
              <w:rPr>
                <w:rFonts w:ascii="Calibri" w:cs="Calibri" w:eastAsia="Calibri" w:hAnsi="Calibri"/>
                <w:b/>
                <w:bCs/>
                <w:color w:val="059669"/>
                <w:sz w:val="18"/>
                <w:szCs w:val="18"/>
              </w:rPr>
              <w:t xml:space="preserve">L1</w:t>
            </w:r>
          </w:p>
        </w:tc>
        <w:tc>
          <w:tcPr>
            <w:tcW w:type="dxa" w:w="1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60"/>
            </w:tcMar>
          </w:tcPr>
          <w:p>
            <w:r>
              <w:rPr>
                <w:rFonts w:ascii="Calibri" w:cs="Calibri" w:eastAsia="Calibri" w:hAnsi="Calibri"/>
                <w:b w:val="false"/>
                <w:bCs w:val="false"/>
                <w:color w:val="374151"/>
                <w:sz w:val="18"/>
                <w:szCs w:val="18"/>
              </w:rPr>
              <w:t xml:space="preserve">≤ 25%</w:t>
            </w:r>
          </w:p>
        </w:tc>
        <w:tc>
          <w:tcPr>
            <w:tcW w:type="dxa" w:w="65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60"/>
            </w:tcMar>
          </w:tcPr>
          <w:p>
            <w:r>
              <w:rPr>
                <w:rFonts w:ascii="Calibri" w:cs="Calibri" w:eastAsia="Calibri" w:hAnsi="Calibri"/>
                <w:b w:val="false"/>
                <w:bCs w:val="false"/>
                <w:color w:val="374151"/>
                <w:sz w:val="18"/>
                <w:szCs w:val="18"/>
              </w:rPr>
              <w:t xml:space="preserve">Low Pressure</w:t>
            </w:r>
          </w:p>
        </w:tc>
      </w:tr>
      <w:tr>
        <w:tc>
          <w:tcPr>
            <w:tcW w:type="dxa" w:w="12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60"/>
            </w:tcMar>
          </w:tcPr>
          <w:p>
            <w:r>
              <w:rPr>
                <w:rFonts w:ascii="Calibri" w:cs="Calibri" w:eastAsia="Calibri" w:hAnsi="Calibri"/>
                <w:b/>
                <w:bCs/>
                <w:color w:val="10B981"/>
                <w:sz w:val="18"/>
                <w:szCs w:val="18"/>
              </w:rPr>
              <w:t xml:space="preserve">L2</w:t>
            </w:r>
          </w:p>
        </w:tc>
        <w:tc>
          <w:tcPr>
            <w:tcW w:type="dxa" w:w="16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60"/>
            </w:tcMar>
          </w:tcPr>
          <w:p>
            <w:r>
              <w:rPr>
                <w:rFonts w:ascii="Calibri" w:cs="Calibri" w:eastAsia="Calibri" w:hAnsi="Calibri"/>
                <w:b w:val="false"/>
                <w:bCs w:val="false"/>
                <w:color w:val="374151"/>
                <w:sz w:val="18"/>
                <w:szCs w:val="18"/>
              </w:rPr>
              <w:t xml:space="preserve">≤ 30%</w:t>
            </w:r>
          </w:p>
        </w:tc>
        <w:tc>
          <w:tcPr>
            <w:tcW w:type="dxa" w:w="65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60"/>
            </w:tcMar>
          </w:tcPr>
          <w:p>
            <w:r>
              <w:rPr>
                <w:rFonts w:ascii="Calibri" w:cs="Calibri" w:eastAsia="Calibri" w:hAnsi="Calibri"/>
                <w:b w:val="false"/>
                <w:bCs w:val="false"/>
                <w:color w:val="374151"/>
                <w:sz w:val="18"/>
                <w:szCs w:val="18"/>
              </w:rPr>
              <w:t xml:space="preserve">Manageable</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60"/>
            </w:tcMar>
          </w:tcPr>
          <w:p>
            <w:r>
              <w:rPr>
                <w:rFonts w:ascii="Calibri" w:cs="Calibri" w:eastAsia="Calibri" w:hAnsi="Calibri"/>
                <w:b/>
                <w:bCs/>
                <w:color w:val="D97706"/>
                <w:sz w:val="18"/>
                <w:szCs w:val="18"/>
              </w:rPr>
              <w:t xml:space="preserve">L3</w:t>
            </w:r>
          </w:p>
        </w:tc>
        <w:tc>
          <w:tcPr>
            <w:tcW w:type="dxa" w:w="1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60"/>
            </w:tcMar>
          </w:tcPr>
          <w:p>
            <w:r>
              <w:rPr>
                <w:rFonts w:ascii="Calibri" w:cs="Calibri" w:eastAsia="Calibri" w:hAnsi="Calibri"/>
                <w:b w:val="false"/>
                <w:bCs w:val="false"/>
                <w:color w:val="374151"/>
                <w:sz w:val="18"/>
                <w:szCs w:val="18"/>
              </w:rPr>
              <w:t xml:space="preserve">≤ 38%</w:t>
            </w:r>
          </w:p>
        </w:tc>
        <w:tc>
          <w:tcPr>
            <w:tcW w:type="dxa" w:w="65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60"/>
            </w:tcMar>
          </w:tcPr>
          <w:p>
            <w:r>
              <w:rPr>
                <w:rFonts w:ascii="Calibri" w:cs="Calibri" w:eastAsia="Calibri" w:hAnsi="Calibri"/>
                <w:b w:val="false"/>
                <w:bCs w:val="false"/>
                <w:color w:val="374151"/>
                <w:sz w:val="18"/>
                <w:szCs w:val="18"/>
              </w:rPr>
              <w:t xml:space="preserve">Under Pressure</w:t>
            </w:r>
          </w:p>
        </w:tc>
      </w:tr>
      <w:tr>
        <w:tc>
          <w:tcPr>
            <w:tcW w:type="dxa" w:w="12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60"/>
            </w:tcMar>
          </w:tcPr>
          <w:p>
            <w:r>
              <w:rPr>
                <w:rFonts w:ascii="Calibri" w:cs="Calibri" w:eastAsia="Calibri" w:hAnsi="Calibri"/>
                <w:b/>
                <w:bCs/>
                <w:color w:val="DC2626"/>
                <w:sz w:val="18"/>
                <w:szCs w:val="18"/>
              </w:rPr>
              <w:t xml:space="preserve">L4</w:t>
            </w:r>
          </w:p>
        </w:tc>
        <w:tc>
          <w:tcPr>
            <w:tcW w:type="dxa" w:w="16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60"/>
            </w:tcMar>
          </w:tcPr>
          <w:p>
            <w:r>
              <w:rPr>
                <w:rFonts w:ascii="Calibri" w:cs="Calibri" w:eastAsia="Calibri" w:hAnsi="Calibri"/>
                <w:b w:val="false"/>
                <w:bCs w:val="false"/>
                <w:color w:val="374151"/>
                <w:sz w:val="18"/>
                <w:szCs w:val="18"/>
              </w:rPr>
              <w:t xml:space="preserve">≤ 50%</w:t>
            </w:r>
          </w:p>
        </w:tc>
        <w:tc>
          <w:tcPr>
            <w:tcW w:type="dxa" w:w="65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60"/>
            </w:tcMar>
          </w:tcPr>
          <w:p>
            <w:r>
              <w:rPr>
                <w:rFonts w:ascii="Calibri" w:cs="Calibri" w:eastAsia="Calibri" w:hAnsi="Calibri"/>
                <w:b w:val="false"/>
                <w:bCs w:val="false"/>
                <w:color w:val="374151"/>
                <w:sz w:val="18"/>
                <w:szCs w:val="18"/>
              </w:rPr>
              <w:t xml:space="preserve">High Pressure</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60"/>
            </w:tcMar>
          </w:tcPr>
          <w:p>
            <w:r>
              <w:rPr>
                <w:rFonts w:ascii="Calibri" w:cs="Calibri" w:eastAsia="Calibri" w:hAnsi="Calibri"/>
                <w:b/>
                <w:bCs/>
                <w:color w:val="DC2626"/>
                <w:sz w:val="18"/>
                <w:szCs w:val="18"/>
              </w:rPr>
              <w:t xml:space="preserve">L5</w:t>
            </w:r>
          </w:p>
        </w:tc>
        <w:tc>
          <w:tcPr>
            <w:tcW w:type="dxa" w:w="1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60"/>
            </w:tcMar>
          </w:tcPr>
          <w:p>
            <w:r>
              <w:rPr>
                <w:rFonts w:ascii="Calibri" w:cs="Calibri" w:eastAsia="Calibri" w:hAnsi="Calibri"/>
                <w:b w:val="false"/>
                <w:bCs w:val="false"/>
                <w:color w:val="374151"/>
                <w:sz w:val="18"/>
                <w:szCs w:val="18"/>
              </w:rPr>
              <w:t xml:space="preserve">&gt; 50%</w:t>
            </w:r>
          </w:p>
        </w:tc>
        <w:tc>
          <w:tcPr>
            <w:tcW w:type="dxa" w:w="65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60"/>
            </w:tcMar>
          </w:tcPr>
          <w:p>
            <w:r>
              <w:rPr>
                <w:rFonts w:ascii="Calibri" w:cs="Calibri" w:eastAsia="Calibri" w:hAnsi="Calibri"/>
                <w:b w:val="false"/>
                <w:bCs w:val="false"/>
                <w:color w:val="374151"/>
                <w:sz w:val="18"/>
                <w:szCs w:val="18"/>
              </w:rPr>
              <w:t xml:space="preserve">Severe</w:t>
            </w:r>
          </w:p>
        </w:tc>
      </w:tr>
    </w:tbl>
    <w:p>
      <w:pPr>
        <w:spacing w:after="240"/>
      </w:pPr>
      <w:r>
        <w:t xml:space="preserve"/>
      </w:r>
    </w:p>
    <w:p>
      <w:pPr>
        <w:pStyle w:val="Heading3"/>
        <w:spacing w:after="80" w:before="200"/>
      </w:pPr>
      <w:r>
        <w:rPr>
          <w:rFonts w:ascii="Calibri" w:cs="Calibri" w:eastAsia="Calibri" w:hAnsi="Calibri"/>
          <w:b/>
          <w:bCs/>
          <w:color w:val="111827"/>
          <w:sz w:val="20"/>
          <w:szCs w:val="20"/>
        </w:rPr>
        <w:t xml:space="preserve">Housing Pressure Level</w:t>
      </w:r>
    </w:p>
    <w:p>
      <w:pPr>
        <w:spacing w:after="100" w:line="276" w:lineRule="auto"/>
      </w:pPr>
      <w:r>
        <w:rPr>
          <w:rFonts w:ascii="Calibri" w:cs="Calibri" w:eastAsia="Calibri" w:hAnsi="Calibri"/>
          <w:color w:val="374151"/>
          <w:sz w:val="20"/>
          <w:szCs w:val="20"/>
        </w:rPr>
        <w:t xml:space="preserve">max(hpiLevel, rpiLevel). The overall housing pressure rating is driven by whichever of the two dimensions is worse — you cannot escape a Severe RPI with a Low HPI Years, and vice versa.</w:t>
      </w:r>
    </w:p>
    <w:p>
      <w:pPr>
        <w:spacing w:after="120"/>
      </w:pPr>
      <w:r>
        <w:t xml:space="preserve"/>
      </w:r>
    </w:p>
    <w:p>
      <w:pPr>
        <w:pStyle w:val="Heading2"/>
        <w:spacing w:after="120" w:before="320"/>
      </w:pPr>
      <w:r>
        <w:rPr>
          <w:rFonts w:ascii="Calibri" w:cs="Calibri" w:eastAsia="Calibri" w:hAnsi="Calibri"/>
          <w:b/>
          <w:bCs/>
          <w:color w:val="111827"/>
          <w:sz w:val="24"/>
          <w:szCs w:val="24"/>
        </w:rPr>
        <w:t xml:space="preserve">1.2  City Quality Indices</w:t>
      </w:r>
    </w:p>
    <w:p>
      <w:pPr>
        <w:spacing w:after="100" w:line="276" w:lineRule="auto"/>
      </w:pPr>
      <w:r>
        <w:rPr>
          <w:rFonts w:ascii="Calibri" w:cs="Calibri" w:eastAsia="Calibri" w:hAnsi="Calibri"/>
          <w:color w:val="374151"/>
          <w:sz w:val="20"/>
          <w:szCs w:val="20"/>
        </w:rPr>
        <w:t xml:space="preserve">Five of the six indices below are city-level constants — they do not vary by occupation. The exception is EOI.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rFonts w:ascii="Calibri" w:cs="Calibri" w:eastAsia="Calibri" w:hAnsi="Calibri"/>
                <w:b/>
                <w:bCs/>
                <w:color w:val="FFFFFF"/>
                <w:sz w:val="18"/>
                <w:szCs w:val="18"/>
              </w:rPr>
              <w:t xml:space="preserve">Index</w:t>
            </w:r>
          </w:p>
        </w:tc>
        <w:tc>
          <w:tcPr>
            <w:tcW w:type="dxa" w:w="65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Calibri" w:cs="Calibri" w:eastAsia="Calibri" w:hAnsi="Calibri"/>
                <w:b/>
                <w:bCs/>
                <w:color w:val="FFFFFF"/>
                <w:sz w:val="18"/>
                <w:szCs w:val="18"/>
              </w:rPr>
              <w:t xml:space="preserve">Definition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Calibri" w:cs="Calibri" w:eastAsia="Calibri" w:hAnsi="Calibri"/>
                <w:b/>
                <w:bCs/>
                <w:color w:val="374151"/>
                <w:sz w:val="18"/>
                <w:szCs w:val="18"/>
              </w:rPr>
              <w:t xml:space="preserve">EOI — Employment Opportunity Index</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Qualitative assessment of how well the city's economic base generates demand for the specific occupation. Rated High / Mid / Low and converted to a numeric score. EOI is the only index that varies by occupation — all other five are city-level constants. Updated annually; significant sector shifts may trigger interim updates.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80"/>
            </w:tcMar>
          </w:tcPr>
          <w:p>
            <w:r>
              <w:rPr>
                <w:rFonts w:ascii="Calibri" w:cs="Calibri" w:eastAsia="Calibri" w:hAnsi="Calibri"/>
                <w:b/>
                <w:bCs/>
                <w:color w:val="374151"/>
                <w:sz w:val="18"/>
                <w:szCs w:val="18"/>
              </w:rPr>
              <w:t xml:space="preserve">TAI — Tax Advantage Index</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Combined effective tax burden on median occupational income, including provincial/state income tax, sales tax, and property tax. Inverted — lower tax burden → higher TAI. Alberta's no-PST structure produces high TAI; Québec's combined QST + provincial income tax produces lower TAI.</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Calibri" w:cs="Calibri" w:eastAsia="Calibri" w:hAnsi="Calibri"/>
                <w:b/>
                <w:bCs/>
                <w:color w:val="374151"/>
                <w:sz w:val="18"/>
                <w:szCs w:val="18"/>
              </w:rPr>
              <w:t xml:space="preserve">HAI — Healthcare Access Index</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Physician-to-population ratio, hospital bed density, and wait-time indicators. CA: CIHI. US: HRSA Area Health Resource Files.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80"/>
            </w:tcMar>
          </w:tcPr>
          <w:p>
            <w:r>
              <w:rPr>
                <w:rFonts w:ascii="Calibri" w:cs="Calibri" w:eastAsia="Calibri" w:hAnsi="Calibri"/>
                <w:b/>
                <w:bCs/>
                <w:color w:val="374151"/>
                <w:sz w:val="18"/>
                <w:szCs w:val="18"/>
              </w:rPr>
              <w:t xml:space="preserve">EQI — Environmental Quality Index</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Annual AQI average, green-space coverage, and extreme-weather event frequency. Sources: EPA AirNow (US), Environment Canada AQHI (CA), NASA MODIS land cover.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Calibri" w:cs="Calibri" w:eastAsia="Calibri" w:hAnsi="Calibri"/>
                <w:b/>
                <w:bCs/>
                <w:color w:val="374151"/>
                <w:sz w:val="18"/>
                <w:szCs w:val="18"/>
              </w:rPr>
              <w:t xml:space="preserve">TCI — Transit &amp; Connectivity Index</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Composite of transit mode share, commute times, walkability, and inter-city connectivity. Sources: GTFS feeds, Census journey-to-work, Walk Score API. Higher TCI = shorter commutes and better multi-modal access.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80"/>
            </w:tcMar>
          </w:tcPr>
          <w:p>
            <w:r>
              <w:rPr>
                <w:rFonts w:ascii="Calibri" w:cs="Calibri" w:eastAsia="Calibri" w:hAnsi="Calibri"/>
                <w:b/>
                <w:bCs/>
                <w:color w:val="374151"/>
                <w:sz w:val="18"/>
                <w:szCs w:val="18"/>
              </w:rPr>
              <w:t xml:space="preserve">PSI — Public Safety Index</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Violent crime rate and property crime rate per 100,000. Sources: Statistics Canada UCR Survey (CA), FBI UCR / NIBRS (US). Inverted — lower crime → higher index.</w:t>
            </w:r>
          </w:p>
        </w:tc>
      </w:tr>
    </w:tbl>
    <w:p>
      <w:pPr>
        <w:pBdr>
          <w:bottom w:val="single" w:color="E5E7EB" w:sz="2" w:space="4"/>
        </w:pBdr>
        <w:spacing w:after="200" w:before="200"/>
      </w:pPr>
      <w:r>
        <w:t xml:space="preserve"/>
      </w:r>
    </w:p>
    <w:p>
      <w:pPr>
        <w:pStyle w:val="Heading1"/>
        <w:pBdr>
          <w:bottom w:val="single" w:color="14B8A6" w:sz="6" w:space="6"/>
        </w:pBdr>
        <w:spacing w:after="160" w:before="480"/>
      </w:pPr>
      <w:r>
        <w:rPr>
          <w:rFonts w:ascii="Calibri" w:cs="Calibri" w:eastAsia="Calibri" w:hAnsi="Calibri"/>
          <w:b/>
          <w:bCs/>
          <w:color w:val="111827"/>
          <w:sz w:val="32"/>
          <w:szCs w:val="32"/>
        </w:rPr>
        <w:t xml:space="preserve">2 · Data Sources</w:t>
      </w:r>
    </w:p>
    <w:p>
      <w:pPr>
        <w:spacing w:after="100" w:line="276" w:lineRule="auto"/>
      </w:pPr>
      <w:r>
        <w:rPr>
          <w:rFonts w:ascii="Calibri" w:cs="Calibri" w:eastAsia="Calibri" w:hAnsi="Calibri"/>
          <w:color w:val="374151"/>
          <w:sz w:val="20"/>
          <w:szCs w:val="20"/>
        </w:rPr>
        <w:t xml:space="preserve">All source data is public or licensed from the issuing agency. No proprietary data is purchased from third-party vendors.</w:t>
      </w:r>
    </w:p>
    <w:p>
      <w:pPr>
        <w:spacing w:after="120"/>
      </w:pPr>
      <w:r>
        <w:t xml:space="preserve"/>
      </w:r>
    </w:p>
    <w:p>
      <w:pPr>
        <w:pStyle w:val="Heading2"/>
        <w:spacing w:after="120" w:before="320"/>
      </w:pPr>
      <w:r>
        <w:rPr>
          <w:rFonts w:ascii="Calibri" w:cs="Calibri" w:eastAsia="Calibri" w:hAnsi="Calibri"/>
          <w:b/>
          <w:bCs/>
          <w:color w:val="111827"/>
          <w:sz w:val="24"/>
          <w:szCs w:val="24"/>
        </w:rPr>
        <w:t xml:space="preserve">2.1  Canada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rFonts w:ascii="Calibri" w:cs="Calibri" w:eastAsia="Calibri" w:hAnsi="Calibri"/>
                <w:b/>
                <w:bCs/>
                <w:color w:val="FFFFFF"/>
                <w:sz w:val="18"/>
                <w:szCs w:val="18"/>
              </w:rPr>
              <w:t xml:space="preserve">Indicator</w:t>
            </w:r>
          </w:p>
        </w:tc>
        <w:tc>
          <w:tcPr>
            <w:tcW w:type="dxa" w:w="65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Calibri" w:cs="Calibri" w:eastAsia="Calibri" w:hAnsi="Calibri"/>
                <w:b/>
                <w:bCs/>
                <w:color w:val="FFFFFF"/>
                <w:sz w:val="18"/>
                <w:szCs w:val="18"/>
              </w:rPr>
              <w:t xml:space="preserve">Source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Calibri" w:cs="Calibri" w:eastAsia="Calibri" w:hAnsi="Calibri"/>
                <w:b/>
                <w:bCs/>
                <w:color w:val="374151"/>
                <w:sz w:val="18"/>
                <w:szCs w:val="18"/>
              </w:rPr>
              <w:t xml:space="preserve">Housing prices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CMHC Housing Market Information Portal · CREA MLS HPI</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80"/>
            </w:tcMar>
          </w:tcPr>
          <w:p>
            <w:r>
              <w:rPr>
                <w:rFonts w:ascii="Calibri" w:cs="Calibri" w:eastAsia="Calibri" w:hAnsi="Calibri"/>
                <w:b/>
                <w:bCs/>
                <w:color w:val="374151"/>
                <w:sz w:val="18"/>
                <w:szCs w:val="18"/>
              </w:rPr>
              <w:t xml:space="preserve">Rental rates</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Rentals.ca National Rent Report · CMHC SMAI</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Calibri" w:cs="Calibri" w:eastAsia="Calibri" w:hAnsi="Calibri"/>
                <w:b/>
                <w:bCs/>
                <w:color w:val="374151"/>
                <w:sz w:val="18"/>
                <w:szCs w:val="18"/>
              </w:rPr>
              <w:t xml:space="preserve">Salaries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Statistics Canada Labour Force Survey (LFS), Table 14-10-0064-01</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80"/>
            </w:tcMar>
          </w:tcPr>
          <w:p>
            <w:r>
              <w:rPr>
                <w:rFonts w:ascii="Calibri" w:cs="Calibri" w:eastAsia="Calibri" w:hAnsi="Calibri"/>
                <w:b/>
                <w:bCs/>
                <w:color w:val="374151"/>
                <w:sz w:val="18"/>
                <w:szCs w:val="18"/>
              </w:rPr>
              <w:t xml:space="preserve">Employment data</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Statistics Canada LFS monthly release · Job Bank postings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Calibri" w:cs="Calibri" w:eastAsia="Calibri" w:hAnsi="Calibri"/>
                <w:b/>
                <w:bCs/>
                <w:color w:val="374151"/>
                <w:sz w:val="18"/>
                <w:szCs w:val="18"/>
              </w:rPr>
              <w:t xml:space="preserve">Healthcare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CIHI Health System Use by LHIN/Zone · CMA physician registry</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80"/>
            </w:tcMar>
          </w:tcPr>
          <w:p>
            <w:r>
              <w:rPr>
                <w:rFonts w:ascii="Calibri" w:cs="Calibri" w:eastAsia="Calibri" w:hAnsi="Calibri"/>
                <w:b/>
                <w:bCs/>
                <w:color w:val="374151"/>
                <w:sz w:val="18"/>
                <w:szCs w:val="18"/>
              </w:rPr>
              <w:t xml:space="preserve">Environment</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Environment Canada AQHI historical · ECCC weather normals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Calibri" w:cs="Calibri" w:eastAsia="Calibri" w:hAnsi="Calibri"/>
                <w:b/>
                <w:bCs/>
                <w:color w:val="374151"/>
                <w:sz w:val="18"/>
                <w:szCs w:val="18"/>
              </w:rPr>
              <w:t xml:space="preserve">Tax rates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CRA tax brackets · provincial finance ministry schedules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80"/>
            </w:tcMar>
          </w:tcPr>
          <w:p>
            <w:r>
              <w:rPr>
                <w:rFonts w:ascii="Calibri" w:cs="Calibri" w:eastAsia="Calibri" w:hAnsi="Calibri"/>
                <w:b/>
                <w:bCs/>
                <w:color w:val="374151"/>
                <w:sz w:val="18"/>
                <w:szCs w:val="18"/>
              </w:rPr>
              <w:t xml:space="preserve">Safety</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Statistics Canada UCR Survey, Table 35-10-0177-01</w:t>
            </w:r>
          </w:p>
        </w:tc>
      </w:tr>
    </w:tbl>
    <w:p>
      <w:pPr>
        <w:spacing w:after="160"/>
      </w:pPr>
      <w:r>
        <w:t xml:space="preserve"/>
      </w:r>
    </w:p>
    <w:p>
      <w:pPr>
        <w:pStyle w:val="Heading2"/>
        <w:spacing w:after="120" w:before="320"/>
      </w:pPr>
      <w:r>
        <w:rPr>
          <w:rFonts w:ascii="Calibri" w:cs="Calibri" w:eastAsia="Calibri" w:hAnsi="Calibri"/>
          <w:b/>
          <w:bCs/>
          <w:color w:val="111827"/>
          <w:sz w:val="24"/>
          <w:szCs w:val="24"/>
        </w:rPr>
        <w:t xml:space="preserve">2.2  United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rFonts w:ascii="Calibri" w:cs="Calibri" w:eastAsia="Calibri" w:hAnsi="Calibri"/>
                <w:b/>
                <w:bCs/>
                <w:color w:val="FFFFFF"/>
                <w:sz w:val="18"/>
                <w:szCs w:val="18"/>
              </w:rPr>
              <w:t xml:space="preserve">Indicator</w:t>
            </w:r>
          </w:p>
        </w:tc>
        <w:tc>
          <w:tcPr>
            <w:tcW w:type="dxa" w:w="65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Calibri" w:cs="Calibri" w:eastAsia="Calibri" w:hAnsi="Calibri"/>
                <w:b/>
                <w:bCs/>
                <w:color w:val="FFFFFF"/>
                <w:sz w:val="18"/>
                <w:szCs w:val="18"/>
              </w:rPr>
              <w:t xml:space="preserve">Source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Calibri" w:cs="Calibri" w:eastAsia="Calibri" w:hAnsi="Calibri"/>
                <w:b/>
                <w:bCs/>
                <w:color w:val="374151"/>
                <w:sz w:val="18"/>
                <w:szCs w:val="18"/>
              </w:rPr>
              <w:t xml:space="preserve">Housing prices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Zillow Home Value Index (ZHVI) · local MLS median</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80"/>
            </w:tcMar>
          </w:tcPr>
          <w:p>
            <w:r>
              <w:rPr>
                <w:rFonts w:ascii="Calibri" w:cs="Calibri" w:eastAsia="Calibri" w:hAnsi="Calibri"/>
                <w:b/>
                <w:bCs/>
                <w:color w:val="374151"/>
                <w:sz w:val="18"/>
                <w:szCs w:val="18"/>
              </w:rPr>
              <w:t xml:space="preserve">Rental rates</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HUD FMR · Apartment List National Rent Report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Calibri" w:cs="Calibri" w:eastAsia="Calibri" w:hAnsi="Calibri"/>
                <w:b/>
                <w:bCs/>
                <w:color w:val="374151"/>
                <w:sz w:val="18"/>
                <w:szCs w:val="18"/>
              </w:rPr>
              <w:t xml:space="preserve">Salaries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BLS Occupational Employment and Wage Statistics (OEWS)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80"/>
            </w:tcMar>
          </w:tcPr>
          <w:p>
            <w:r>
              <w:rPr>
                <w:rFonts w:ascii="Calibri" w:cs="Calibri" w:eastAsia="Calibri" w:hAnsi="Calibri"/>
                <w:b/>
                <w:bCs/>
                <w:color w:val="374151"/>
                <w:sz w:val="18"/>
                <w:szCs w:val="18"/>
              </w:rPr>
              <w:t xml:space="preserve">Employment data</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BLS monthly CES release · CareerOneStop postings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Calibri" w:cs="Calibri" w:eastAsia="Calibri" w:hAnsi="Calibri"/>
                <w:b/>
                <w:bCs/>
                <w:color w:val="374151"/>
                <w:sz w:val="18"/>
                <w:szCs w:val="18"/>
              </w:rPr>
              <w:t xml:space="preserve">Healthcare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HRSA Area Health Resource Files · CMS hospital compare</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80"/>
            </w:tcMar>
          </w:tcPr>
          <w:p>
            <w:r>
              <w:rPr>
                <w:rFonts w:ascii="Calibri" w:cs="Calibri" w:eastAsia="Calibri" w:hAnsi="Calibri"/>
                <w:b/>
                <w:bCs/>
                <w:color w:val="374151"/>
                <w:sz w:val="18"/>
                <w:szCs w:val="18"/>
              </w:rPr>
              <w:t xml:space="preserve">Environment</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EPA AirNow annual AQI summary · NLCD land cover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Calibri" w:cs="Calibri" w:eastAsia="Calibri" w:hAnsi="Calibri"/>
                <w:b/>
                <w:bCs/>
                <w:color w:val="374151"/>
                <w:sz w:val="18"/>
                <w:szCs w:val="18"/>
              </w:rPr>
              <w:t xml:space="preserve">Tax rates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Tax Foundation state-local tax burden estimates · IRS SOI</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80"/>
            </w:tcMar>
          </w:tcPr>
          <w:p>
            <w:r>
              <w:rPr>
                <w:rFonts w:ascii="Calibri" w:cs="Calibri" w:eastAsia="Calibri" w:hAnsi="Calibri"/>
                <w:b/>
                <w:bCs/>
                <w:color w:val="374151"/>
                <w:sz w:val="18"/>
                <w:szCs w:val="18"/>
              </w:rPr>
              <w:t xml:space="preserve">Safety</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FBI UCR / NIBRS · city open-data crime portals</w:t>
            </w:r>
          </w:p>
        </w:tc>
      </w:tr>
    </w:tbl>
    <w:p>
      <w:pPr>
        <w:spacing w:after="80"/>
      </w:pPr>
      <w:r>
        <w:t xml:space="preserve"/>
      </w:r>
    </w:p>
    <w:p>
      <w:pPr>
        <w:spacing w:after="100" w:line="276" w:lineRule="auto"/>
      </w:pPr>
      <w:r>
        <w:rPr>
          <w:rFonts w:ascii="Calibri" w:cs="Calibri" w:eastAsia="Calibri" w:hAnsi="Calibri"/>
          <w:color w:val="6B7280"/>
          <w:sz w:val="20"/>
          <w:szCs w:val="20"/>
        </w:rPr>
        <w:t xml:space="preserve">City-level indices (TAI, HAI, EQI, TCI, PSI) are reviewed annually. Housing and salary data are updated on the schedule in Section 4.</w:t>
      </w:r>
    </w:p>
    <w:p>
      <w:pPr>
        <w:pBdr>
          <w:bottom w:val="single" w:color="E5E7EB" w:sz="2" w:space="4"/>
        </w:pBdr>
        <w:spacing w:after="200" w:before="200"/>
      </w:pPr>
      <w:r>
        <w:t xml:space="preserve"/>
      </w:r>
    </w:p>
    <w:p>
      <w:pPr>
        <w:pStyle w:val="Heading1"/>
        <w:pBdr>
          <w:bottom w:val="single" w:color="14B8A6" w:sz="6" w:space="6"/>
        </w:pBdr>
        <w:spacing w:after="160" w:before="480"/>
      </w:pPr>
      <w:r>
        <w:rPr>
          <w:rFonts w:ascii="Calibri" w:cs="Calibri" w:eastAsia="Calibri" w:hAnsi="Calibri"/>
          <w:b/>
          <w:bCs/>
          <w:color w:val="111827"/>
          <w:sz w:val="32"/>
          <w:szCs w:val="32"/>
        </w:rPr>
        <w:t xml:space="preserve">3 · Scoring Formula</w:t>
      </w:r>
    </w:p>
    <w:p>
      <w:pPr>
        <w:spacing w:after="100" w:line="276" w:lineRule="auto"/>
      </w:pPr>
      <w:r>
        <w:rPr>
          <w:rFonts w:ascii="Calibri" w:cs="Calibri" w:eastAsia="Calibri" w:hAnsi="Calibri"/>
          <w:color w:val="374151"/>
          <w:sz w:val="20"/>
          <w:szCs w:val="20"/>
        </w:rPr>
        <w:t xml:space="preserve">The Lakive Fit Score is a composite of two sub-scores: Housing Score and City Score. Both are computed at the occupation level and property-type level; city indices apply city-wide.</w:t>
      </w:r>
    </w:p>
    <w:p>
      <w:pPr>
        <w:spacing w:after="120"/>
      </w:pPr>
      <w:r>
        <w:t xml:space="preserve"/>
      </w:r>
    </w:p>
    <w:p>
      <w:pPr>
        <w:pStyle w:val="Heading2"/>
        <w:spacing w:after="120" w:before="320"/>
      </w:pPr>
      <w:r>
        <w:rPr>
          <w:rFonts w:ascii="Calibri" w:cs="Calibri" w:eastAsia="Calibri" w:hAnsi="Calibri"/>
          <w:b/>
          <w:bCs/>
          <w:color w:val="111827"/>
          <w:sz w:val="24"/>
          <w:szCs w:val="24"/>
        </w:rPr>
        <w:t xml:space="preserve">3.1  Score Structure (Model v4 / Platform v5.0)</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rFonts w:ascii="Calibri" w:cs="Calibri" w:eastAsia="Calibri" w:hAnsi="Calibri"/>
                <w:b/>
                <w:bCs/>
                <w:color w:val="FFFFFF"/>
                <w:sz w:val="18"/>
                <w:szCs w:val="18"/>
              </w:rPr>
              <w:t xml:space="preserve">Component</w:t>
            </w:r>
          </w:p>
        </w:tc>
        <w:tc>
          <w:tcPr>
            <w:tcW w:type="dxa" w:w="65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Calibri" w:cs="Calibri" w:eastAsia="Calibri" w:hAnsi="Calibri"/>
                <w:b/>
                <w:bCs/>
                <w:color w:val="374151"/>
                <w:sz w:val="18"/>
                <w:szCs w:val="18"/>
              </w:rPr>
              <w:t xml:space="preserve">Housing Score — primary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Derived from HPI Years and RPI %, with purchase burden weighted slightly more than rental burden. Both dimensions matter — a severe RPI cannot be offset by a low HPI Years. Housing pressure carries more weight in the final score than city quality.</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80"/>
            </w:tcMar>
          </w:tcPr>
          <w:p>
            <w:r>
              <w:rPr>
                <w:rFonts w:ascii="Calibri" w:cs="Calibri" w:eastAsia="Calibri" w:hAnsi="Calibri"/>
                <w:b/>
                <w:bCs/>
                <w:color w:val="374151"/>
                <w:sz w:val="18"/>
                <w:szCs w:val="18"/>
              </w:rPr>
              <w:t xml:space="preserve">City Score — secondary</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All six city indices (EOI, TAI, HAI, EQI, TCI, PSI) contribute positively — higher always improves the score. EOI, TAI (Tax Advantage), and HAI are the primary drivers; EQI, TCI (Transit), and PSI contribute as secondary factors.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Calibri" w:cs="Calibri" w:eastAsia="Calibri" w:hAnsi="Calibri"/>
                <w:b/>
                <w:bCs/>
                <w:color w:val="374151"/>
                <w:sz w:val="18"/>
                <w:szCs w:val="18"/>
              </w:rPr>
              <w:t xml:space="preserve">Score range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Clamped to [10, 99]. Below 40: severe constraints. Above 85: strong conditions on both dimensions.</w:t>
            </w:r>
          </w:p>
        </w:tc>
      </w:tr>
    </w:tbl>
    <w:p>
      <w:pPr>
        <w:spacing w:after="120"/>
      </w:pPr>
      <w:r>
        <w:t xml:space="preserve"/>
      </w:r>
    </w:p>
    <w:p>
      <w:pPr>
        <w:pBdr>
          <w:left w:val="single" w:color="14B8A6" w:sz="12" w:space="8"/>
        </w:pBdr>
        <w:spacing w:after="120" w:before="0"/>
        <w:ind w:left="280"/>
      </w:pPr>
      <w:r>
        <w:rPr>
          <w:rFonts w:ascii="Calibri" w:cs="Calibri" w:eastAsia="Calibri" w:hAnsi="Calibri"/>
          <w:i/>
          <w:iCs/>
          <w:color w:val="6B7280"/>
          <w:sz w:val="18"/>
          <w:szCs w:val="18"/>
        </w:rPr>
        <w:t xml:space="preserve">The exact weights assigned to each component and sub-index are proprietary model parameters and are not published. The direction and ordering described above are sufficient to understand and challenge any result. Contact hello@lakive.com for deeper questions.</w:t>
      </w:r>
    </w:p>
    <w:p>
      <w:pPr>
        <w:spacing w:after="160"/>
      </w:pPr>
      <w:r>
        <w:t xml:space="preserve"/>
      </w:r>
    </w:p>
    <w:p>
      <w:pPr>
        <w:pStyle w:val="Heading2"/>
        <w:spacing w:after="120" w:before="320"/>
      </w:pPr>
      <w:r>
        <w:rPr>
          <w:rFonts w:ascii="Calibri" w:cs="Calibri" w:eastAsia="Calibri" w:hAnsi="Calibri"/>
          <w:b/>
          <w:bCs/>
          <w:color w:val="111827"/>
          <w:sz w:val="24"/>
          <w:szCs w:val="24"/>
        </w:rPr>
        <w:t xml:space="preserve">3.2  Housing Pressure Level (separate from Fit Score)</w:t>
      </w:r>
    </w:p>
    <w:p>
      <w:pPr>
        <w:spacing w:after="100" w:line="276" w:lineRule="auto"/>
      </w:pPr>
      <w:r>
        <w:rPr>
          <w:rFonts w:ascii="Calibri" w:cs="Calibri" w:eastAsia="Calibri" w:hAnsi="Calibri"/>
          <w:color w:val="374151"/>
          <w:sz w:val="20"/>
          <w:szCs w:val="20"/>
        </w:rPr>
        <w:t xml:space="preserve">The Housing Pressure Level is derived independently from the Fit Score. It is set to max(hpiLevel, rpiLevel) — whichever housing dimension is worse. This rating appears alongside the Fit Score on city pages to flag cases where a high composite score still carries a housing burden warning.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rFonts w:ascii="Calibri" w:cs="Calibri" w:eastAsia="Calibri" w:hAnsi="Calibri"/>
                <w:b/>
                <w:bCs/>
                <w:color w:val="FFFFFF"/>
                <w:sz w:val="18"/>
                <w:szCs w:val="18"/>
              </w:rPr>
              <w:t xml:space="preserve">Level</w:t>
            </w:r>
          </w:p>
        </w:tc>
        <w:tc>
          <w:tcPr>
            <w:tcW w:type="dxa" w:w="65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Calibri" w:cs="Calibri" w:eastAsia="Calibri" w:hAnsi="Calibri"/>
                <w:b/>
                <w:bCs/>
                <w:color w:val="FFFFFF"/>
                <w:sz w:val="18"/>
                <w:szCs w:val="18"/>
              </w:rPr>
              <w:t xml:space="preserve">Label &amp; Meaning</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Calibri" w:cs="Calibri" w:eastAsia="Calibri" w:hAnsi="Calibri"/>
                <w:b/>
                <w:bCs/>
                <w:color w:val="374151"/>
                <w:sz w:val="18"/>
                <w:szCs w:val="18"/>
              </w:rPr>
              <w:t xml:space="preserve">L1</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Low Pressure — both HPI and RPI within comfortable range</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80"/>
            </w:tcMar>
          </w:tcPr>
          <w:p>
            <w:r>
              <w:rPr>
                <w:rFonts w:ascii="Calibri" w:cs="Calibri" w:eastAsia="Calibri" w:hAnsi="Calibri"/>
                <w:b/>
                <w:bCs/>
                <w:color w:val="374151"/>
                <w:sz w:val="18"/>
                <w:szCs w:val="18"/>
              </w:rPr>
              <w:t xml:space="preserve">L2</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Manageable — affordable with standard financial planning</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Calibri" w:cs="Calibri" w:eastAsia="Calibri" w:hAnsi="Calibri"/>
                <w:b/>
                <w:bCs/>
                <w:color w:val="374151"/>
                <w:sz w:val="18"/>
                <w:szCs w:val="18"/>
              </w:rPr>
              <w:t xml:space="preserve">L3</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Under Pressure — elevated housing cost; detailed budgeting required</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80"/>
            </w:tcMar>
          </w:tcPr>
          <w:p>
            <w:r>
              <w:rPr>
                <w:rFonts w:ascii="Calibri" w:cs="Calibri" w:eastAsia="Calibri" w:hAnsi="Calibri"/>
                <w:b/>
                <w:bCs/>
                <w:color w:val="374151"/>
                <w:sz w:val="18"/>
                <w:szCs w:val="18"/>
              </w:rPr>
              <w:t xml:space="preserve">L4</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High Pressure — significant housing burden for this occupation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Calibri" w:cs="Calibri" w:eastAsia="Calibri" w:hAnsi="Calibri"/>
                <w:b/>
                <w:bCs/>
                <w:color w:val="374151"/>
                <w:sz w:val="18"/>
                <w:szCs w:val="18"/>
              </w:rPr>
              <w:t xml:space="preserve">L5</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Severe — housing cost is a dominant constraint</w:t>
            </w:r>
          </w:p>
        </w:tc>
      </w:tr>
    </w:tbl>
    <w:p>
      <w:pPr>
        <w:spacing w:after="160"/>
      </w:pPr>
      <w:r>
        <w:t xml:space="preserve"/>
      </w:r>
    </w:p>
    <w:p>
      <w:pPr>
        <w:pStyle w:val="Heading2"/>
        <w:spacing w:after="120" w:before="320"/>
      </w:pPr>
      <w:r>
        <w:rPr>
          <w:rFonts w:ascii="Calibri" w:cs="Calibri" w:eastAsia="Calibri" w:hAnsi="Calibri"/>
          <w:b/>
          <w:bCs/>
          <w:color w:val="111827"/>
          <w:sz w:val="24"/>
          <w:szCs w:val="24"/>
        </w:rPr>
        <w:t xml:space="preserve">3.3  Fit Score Interpretation (10–99)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rFonts w:ascii="Calibri" w:cs="Calibri" w:eastAsia="Calibri" w:hAnsi="Calibri"/>
                <w:b/>
                <w:bCs/>
                <w:color w:val="FFFFFF"/>
                <w:sz w:val="18"/>
                <w:szCs w:val="18"/>
              </w:rPr>
              <w:t xml:space="preserve">Range</w:t>
            </w:r>
          </w:p>
        </w:tc>
        <w:tc>
          <w:tcPr>
            <w:tcW w:type="dxa" w:w="65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Calibri" w:cs="Calibri" w:eastAsia="Calibri" w:hAnsi="Calibri"/>
                <w:b/>
                <w:bCs/>
                <w:color w:val="FFFFFF"/>
                <w:sz w:val="18"/>
                <w:szCs w:val="18"/>
              </w:rPr>
              <w:t xml:space="preserve">Label &amp; Meaning</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Calibri" w:cs="Calibri" w:eastAsia="Calibri" w:hAnsi="Calibri"/>
                <w:b/>
                <w:bCs/>
                <w:color w:val="374151"/>
                <w:sz w:val="18"/>
                <w:szCs w:val="18"/>
              </w:rPr>
              <w:t xml:space="preserve">85–99</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Strong — affordability and city quality both favourable</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80"/>
            </w:tcMar>
          </w:tcPr>
          <w:p>
            <w:r>
              <w:rPr>
                <w:rFonts w:ascii="Calibri" w:cs="Calibri" w:eastAsia="Calibri" w:hAnsi="Calibri"/>
                <w:b/>
                <w:bCs/>
                <w:color w:val="374151"/>
                <w:sz w:val="18"/>
                <w:szCs w:val="18"/>
              </w:rPr>
              <w:t xml:space="preserve">70–84</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Good — solid overall balance; minor housing or city caveat possible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Calibri" w:cs="Calibri" w:eastAsia="Calibri" w:hAnsi="Calibri"/>
                <w:b/>
                <w:bCs/>
                <w:color w:val="374151"/>
                <w:sz w:val="18"/>
                <w:szCs w:val="18"/>
              </w:rPr>
              <w:t xml:space="preserve">55–69</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Moderate — viable but elevated housing cost or weaker city conditions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80"/>
            </w:tcMar>
          </w:tcPr>
          <w:p>
            <w:r>
              <w:rPr>
                <w:rFonts w:ascii="Calibri" w:cs="Calibri" w:eastAsia="Calibri" w:hAnsi="Calibri"/>
                <w:b/>
                <w:bCs/>
                <w:color w:val="374151"/>
                <w:sz w:val="18"/>
                <w:szCs w:val="18"/>
              </w:rPr>
              <w:t xml:space="preserve">40–54</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Challenging — significant housing or city-quality constraints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Calibri" w:cs="Calibri" w:eastAsia="Calibri" w:hAnsi="Calibri"/>
                <w:b/>
                <w:bCs/>
                <w:color w:val="374151"/>
                <w:sz w:val="18"/>
                <w:szCs w:val="18"/>
              </w:rPr>
              <w:t xml:space="preserve">10–39</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Severe — strong affordability or opportunity mismatch</w:t>
            </w:r>
          </w:p>
        </w:tc>
      </w:tr>
    </w:tbl>
    <w:p>
      <w:pPr>
        <w:pBdr>
          <w:bottom w:val="single" w:color="E5E7EB" w:sz="2" w:space="4"/>
        </w:pBdr>
        <w:spacing w:after="200" w:before="200"/>
      </w:pPr>
      <w:r>
        <w:t xml:space="preserve"/>
      </w:r>
    </w:p>
    <w:p>
      <w:pPr>
        <w:pStyle w:val="Heading1"/>
        <w:pBdr>
          <w:bottom w:val="single" w:color="14B8A6" w:sz="6" w:space="6"/>
        </w:pBdr>
        <w:spacing w:after="160" w:before="480"/>
      </w:pPr>
      <w:r>
        <w:rPr>
          <w:rFonts w:ascii="Calibri" w:cs="Calibri" w:eastAsia="Calibri" w:hAnsi="Calibri"/>
          <w:b/>
          <w:bCs/>
          <w:color w:val="111827"/>
          <w:sz w:val="32"/>
          <w:szCs w:val="32"/>
        </w:rPr>
        <w:t xml:space="preserve">4 · Update Schedule</w:t>
      </w:r>
    </w:p>
    <w:p>
      <w:pPr>
        <w:spacing w:after="100" w:line="276" w:lineRule="auto"/>
      </w:pPr>
      <w:r>
        <w:rPr>
          <w:rFonts w:ascii="Calibri" w:cs="Calibri" w:eastAsia="Calibri" w:hAnsi="Calibri"/>
          <w:color w:val="374151"/>
          <w:sz w:val="20"/>
          <w:szCs w:val="20"/>
        </w:rPr>
        <w:t xml:space="preserve">Lakive follows official release calendars wherever possible. Scores are recalculated after each data update — there is no manual override of individual city scores between scheduled updates.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rFonts w:ascii="Calibri" w:cs="Calibri" w:eastAsia="Calibri" w:hAnsi="Calibri"/>
                <w:b/>
                <w:bCs/>
                <w:color w:val="FFFFFF"/>
                <w:sz w:val="18"/>
                <w:szCs w:val="18"/>
              </w:rPr>
              <w:t xml:space="preserve">Data type</w:t>
            </w:r>
          </w:p>
        </w:tc>
        <w:tc>
          <w:tcPr>
            <w:tcW w:type="dxa" w:w="65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Calibri" w:cs="Calibri" w:eastAsia="Calibri" w:hAnsi="Calibri"/>
                <w:b/>
                <w:bCs/>
                <w:color w:val="FFFFFF"/>
                <w:sz w:val="18"/>
                <w:szCs w:val="18"/>
              </w:rPr>
              <w:t xml:space="preserve">Cadence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Calibri" w:cs="Calibri" w:eastAsia="Calibri" w:hAnsi="Calibri"/>
                <w:b/>
                <w:bCs/>
                <w:color w:val="374151"/>
                <w:sz w:val="18"/>
                <w:szCs w:val="18"/>
              </w:rPr>
              <w:t xml:space="preserve">LFS monthly (CA)</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Second Friday of each month</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80"/>
            </w:tcMar>
          </w:tcPr>
          <w:p>
            <w:r>
              <w:rPr>
                <w:rFonts w:ascii="Calibri" w:cs="Calibri" w:eastAsia="Calibri" w:hAnsi="Calibri"/>
                <w:b/>
                <w:bCs/>
                <w:color w:val="374151"/>
                <w:sz w:val="18"/>
                <w:szCs w:val="18"/>
              </w:rPr>
              <w:t xml:space="preserve">BLS monthly (US)</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Third Friday of each month</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Calibri" w:cs="Calibri" w:eastAsia="Calibri" w:hAnsi="Calibri"/>
                <w:b/>
                <w:bCs/>
                <w:color w:val="374151"/>
                <w:sz w:val="18"/>
                <w:szCs w:val="18"/>
              </w:rPr>
              <w:t xml:space="preserve">Housing prices (CMHC / CREA)</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Monthly, ~15th of following month</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80"/>
            </w:tcMar>
          </w:tcPr>
          <w:p>
            <w:r>
              <w:rPr>
                <w:rFonts w:ascii="Calibri" w:cs="Calibri" w:eastAsia="Calibri" w:hAnsi="Calibri"/>
                <w:b/>
                <w:bCs/>
                <w:color w:val="374151"/>
                <w:sz w:val="18"/>
                <w:szCs w:val="18"/>
              </w:rPr>
              <w:t xml:space="preserve">Housing prices (Zillow ZHVI)</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Monthly, ~mid-month</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Calibri" w:cs="Calibri" w:eastAsia="Calibri" w:hAnsi="Calibri"/>
                <w:b/>
                <w:bCs/>
                <w:color w:val="374151"/>
                <w:sz w:val="18"/>
                <w:szCs w:val="18"/>
              </w:rPr>
              <w:t xml:space="preserve">Rental rates (Rentals.ca)</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Monthly, ~end of following month</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80"/>
            </w:tcMar>
          </w:tcPr>
          <w:p>
            <w:r>
              <w:rPr>
                <w:rFonts w:ascii="Calibri" w:cs="Calibri" w:eastAsia="Calibri" w:hAnsi="Calibri"/>
                <w:b/>
                <w:bCs/>
                <w:color w:val="374151"/>
                <w:sz w:val="18"/>
                <w:szCs w:val="18"/>
              </w:rPr>
              <w:t xml:space="preserve">Rental rates (HUD FMR)</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Annually, October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Calibri" w:cs="Calibri" w:eastAsia="Calibri" w:hAnsi="Calibri"/>
                <w:b/>
                <w:bCs/>
                <w:color w:val="374151"/>
                <w:sz w:val="18"/>
                <w:szCs w:val="18"/>
              </w:rPr>
              <w:t xml:space="preserve">City indices (TAI, HAI, EQI, TCI, PSI)</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Annually, Q1 (January–March), incorporating prior-year data</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80"/>
            </w:tcMar>
          </w:tcPr>
          <w:p>
            <w:r>
              <w:rPr>
                <w:rFonts w:ascii="Calibri" w:cs="Calibri" w:eastAsia="Calibri" w:hAnsi="Calibri"/>
                <w:b/>
                <w:bCs/>
                <w:color w:val="374151"/>
                <w:sz w:val="18"/>
                <w:szCs w:val="18"/>
              </w:rPr>
              <w:t xml:space="preserve">EOI (Employment Opportunity)</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Annually with LFS Annual Survey; significant sector shifts may trigger interim updates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Calibri" w:cs="Calibri" w:eastAsia="Calibri" w:hAnsi="Calibri"/>
                <w:b/>
                <w:bCs/>
                <w:color w:val="374151"/>
                <w:sz w:val="18"/>
                <w:szCs w:val="18"/>
              </w:rPr>
              <w:t xml:space="preserve">Fit scores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Recalculated automatically whenever an underlying input changes; always reflect the latest available data</w:t>
            </w:r>
          </w:p>
        </w:tc>
      </w:tr>
    </w:tbl>
    <w:p>
      <w:pPr>
        <w:pBdr>
          <w:bottom w:val="single" w:color="E5E7EB" w:sz="2" w:space="4"/>
        </w:pBdr>
        <w:spacing w:after="200" w:before="200"/>
      </w:pPr>
      <w:r>
        <w:t xml:space="preserve"/>
      </w:r>
    </w:p>
    <w:p>
      <w:pPr>
        <w:pStyle w:val="Heading1"/>
        <w:pBdr>
          <w:bottom w:val="single" w:color="14B8A6" w:sz="6" w:space="6"/>
        </w:pBdr>
        <w:spacing w:after="160" w:before="480"/>
      </w:pPr>
      <w:r>
        <w:rPr>
          <w:rFonts w:ascii="Calibri" w:cs="Calibri" w:eastAsia="Calibri" w:hAnsi="Calibri"/>
          <w:b/>
          <w:bCs/>
          <w:color w:val="111827"/>
          <w:sz w:val="32"/>
          <w:szCs w:val="32"/>
        </w:rPr>
        <w:t xml:space="preserve">5 · Model Limitations</w:t>
      </w:r>
    </w:p>
    <w:p>
      <w:pPr>
        <w:spacing w:after="100" w:line="276" w:lineRule="auto"/>
      </w:pPr>
      <w:r>
        <w:rPr>
          <w:rFonts w:ascii="Calibri" w:cs="Calibri" w:eastAsia="Calibri" w:hAnsi="Calibri"/>
          <w:color w:val="374151"/>
          <w:sz w:val="20"/>
          <w:szCs w:val="20"/>
        </w:rPr>
        <w:t xml:space="preserve">No model captures everything. The following are known structural limitations of the current version. We prefer to be explicit about them rather than let users discover them accidentally.</w:t>
      </w:r>
    </w:p>
    <w:p>
      <w:pPr>
        <w:spacing w:after="80"/>
      </w:pPr>
      <w:r>
        <w:t xml:space="preserve"/>
      </w:r>
    </w:p>
    <w:p>
      <w:pPr>
        <w:spacing w:after="60" w:before="160"/>
        <w:ind w:left="160"/>
      </w:pPr>
      <w:r>
        <w:rPr>
          <w:rFonts w:ascii="Calibri" w:cs="Calibri" w:eastAsia="Calibri" w:hAnsi="Calibri"/>
          <w:b/>
          <w:bCs/>
          <w:color w:val="D97706"/>
          <w:sz w:val="20"/>
          <w:szCs w:val="20"/>
        </w:rPr>
        <w:t xml:space="preserve">⚠  Single benchmark property type</w:t>
      </w:r>
    </w:p>
    <w:p>
      <w:pPr>
        <w:spacing w:after="100" w:line="264" w:lineRule="auto"/>
        <w:ind w:left="160"/>
      </w:pPr>
      <w:r>
        <w:rPr>
          <w:rFonts w:ascii="Calibri" w:cs="Calibri" w:eastAsia="Calibri" w:hAnsi="Calibri"/>
          <w:color w:val="374151"/>
          <w:sz w:val="18"/>
          <w:szCs w:val="18"/>
        </w:rPr>
        <w:t xml:space="preserve">HPI Years uses one property benchmark per city — a 2-bedroom condo composite in most Canadian cities, or ZHVI for a given tier in US cities. It does not reflect the full spread of prices within a city. Neighbourhoods vary widely.</w:t>
      </w:r>
    </w:p>
    <w:p>
      <w:pPr>
        <w:spacing w:after="60" w:before="160"/>
        <w:ind w:left="160"/>
      </w:pPr>
      <w:r>
        <w:rPr>
          <w:rFonts w:ascii="Calibri" w:cs="Calibri" w:eastAsia="Calibri" w:hAnsi="Calibri"/>
          <w:b/>
          <w:bCs/>
          <w:color w:val="D97706"/>
          <w:sz w:val="20"/>
          <w:szCs w:val="20"/>
        </w:rPr>
        <w:t xml:space="preserve">⚠  Pre-tax salary denominator</w:t>
      </w:r>
    </w:p>
    <w:p>
      <w:pPr>
        <w:spacing w:after="100" w:line="264" w:lineRule="auto"/>
        <w:ind w:left="160"/>
      </w:pPr>
      <w:r>
        <w:rPr>
          <w:rFonts w:ascii="Calibri" w:cs="Calibri" w:eastAsia="Calibri" w:hAnsi="Calibri"/>
          <w:color w:val="374151"/>
          <w:sz w:val="18"/>
          <w:szCs w:val="18"/>
        </w:rPr>
        <w:t xml:space="preserve">RPI and HPI Years use gross annual salary. After-tax take-home varies by province/state and individual circumstances. The TAI index partially accounts for tax burden at the city level, but individual tax situations differ.</w:t>
      </w:r>
    </w:p>
    <w:p>
      <w:pPr>
        <w:spacing w:after="60" w:before="160"/>
        <w:ind w:left="160"/>
      </w:pPr>
      <w:r>
        <w:rPr>
          <w:rFonts w:ascii="Calibri" w:cs="Calibri" w:eastAsia="Calibri" w:hAnsi="Calibri"/>
          <w:b/>
          <w:bCs/>
          <w:color w:val="D97706"/>
          <w:sz w:val="20"/>
          <w:szCs w:val="20"/>
        </w:rPr>
        <w:t xml:space="preserve">⚠  No household-size adjustment</w:t>
      </w:r>
    </w:p>
    <w:p>
      <w:pPr>
        <w:spacing w:after="100" w:line="264" w:lineRule="auto"/>
        <w:ind w:left="160"/>
      </w:pPr>
      <w:r>
        <w:rPr>
          <w:rFonts w:ascii="Calibri" w:cs="Calibri" w:eastAsia="Calibri" w:hAnsi="Calibri"/>
          <w:color w:val="374151"/>
          <w:sz w:val="18"/>
          <w:szCs w:val="18"/>
        </w:rPr>
        <w:t xml:space="preserve">All indicators assume a single earner. Dual-income households, families with dependants, and single parents face materially different affordability curves that the model does not capture.</w:t>
      </w:r>
    </w:p>
    <w:p>
      <w:pPr>
        <w:spacing w:after="60" w:before="160"/>
        <w:ind w:left="160"/>
      </w:pPr>
      <w:r>
        <w:rPr>
          <w:rFonts w:ascii="Calibri" w:cs="Calibri" w:eastAsia="Calibri" w:hAnsi="Calibri"/>
          <w:b/>
          <w:bCs/>
          <w:color w:val="D97706"/>
          <w:sz w:val="20"/>
          <w:szCs w:val="20"/>
        </w:rPr>
        <w:t xml:space="preserve">⚠  EOI is qualitative and lagged</w:t>
      </w:r>
    </w:p>
    <w:p>
      <w:pPr>
        <w:spacing w:after="100" w:line="264" w:lineRule="auto"/>
        <w:ind w:left="160"/>
      </w:pPr>
      <w:r>
        <w:rPr>
          <w:rFonts w:ascii="Calibri" w:cs="Calibri" w:eastAsia="Calibri" w:hAnsi="Calibri"/>
          <w:color w:val="374151"/>
          <w:sz w:val="18"/>
          <w:szCs w:val="18"/>
        </w:rPr>
        <w:t xml:space="preserve">The Employment Opportunity Index is the only index not derived from a formula. It is based on sector analysis and reviewed annually. Sudden sector expansions or contractions may not be reflected until the next annual update.</w:t>
      </w:r>
    </w:p>
    <w:p>
      <w:pPr>
        <w:spacing w:after="60" w:before="160"/>
        <w:ind w:left="160"/>
      </w:pPr>
      <w:r>
        <w:rPr>
          <w:rFonts w:ascii="Calibri" w:cs="Calibri" w:eastAsia="Calibri" w:hAnsi="Calibri"/>
          <w:b/>
          <w:bCs/>
          <w:color w:val="D97706"/>
          <w:sz w:val="20"/>
          <w:szCs w:val="20"/>
        </w:rPr>
        <w:t xml:space="preserve">⚠  No personal circumstances</w:t>
      </w:r>
    </w:p>
    <w:p>
      <w:pPr>
        <w:spacing w:after="100" w:line="264" w:lineRule="auto"/>
        <w:ind w:left="160"/>
      </w:pPr>
      <w:r>
        <w:rPr>
          <w:rFonts w:ascii="Calibri" w:cs="Calibri" w:eastAsia="Calibri" w:hAnsi="Calibri"/>
          <w:color w:val="374151"/>
          <w:sz w:val="18"/>
          <w:szCs w:val="18"/>
        </w:rPr>
        <w:t xml:space="preserve">The model does not account for immigration status, prior local work experience, language proficiency, professional licensing portability, or personal credit history — all of which materially affect housing access and job placement.</w:t>
      </w:r>
    </w:p>
    <w:p>
      <w:pPr>
        <w:spacing w:after="60" w:before="160"/>
        <w:ind w:left="160"/>
      </w:pPr>
      <w:r>
        <w:rPr>
          <w:rFonts w:ascii="Calibri" w:cs="Calibri" w:eastAsia="Calibri" w:hAnsi="Calibri"/>
          <w:b/>
          <w:bCs/>
          <w:color w:val="D97706"/>
          <w:sz w:val="20"/>
          <w:szCs w:val="20"/>
        </w:rPr>
        <w:t xml:space="preserve">⚠  City-level aggregation</w:t>
      </w:r>
    </w:p>
    <w:p>
      <w:pPr>
        <w:spacing w:after="100" w:line="264" w:lineRule="auto"/>
        <w:ind w:left="160"/>
      </w:pPr>
      <w:r>
        <w:rPr>
          <w:rFonts w:ascii="Calibri" w:cs="Calibri" w:eastAsia="Calibri" w:hAnsi="Calibri"/>
          <w:color w:val="374151"/>
          <w:sz w:val="18"/>
          <w:szCs w:val="18"/>
        </w:rPr>
        <w:t xml:space="preserve">All indices are city-level averages. Within a city, neighbourhood quality, micro-market rental rates, and local employer concentration vary substantially. The score is a city-level signal, not a neighbourhood-level one.</w:t>
      </w:r>
    </w:p>
    <w:p>
      <w:pPr>
        <w:spacing w:after="60" w:before="160"/>
        <w:ind w:left="160"/>
      </w:pPr>
      <w:r>
        <w:rPr>
          <w:rFonts w:ascii="Calibri" w:cs="Calibri" w:eastAsia="Calibri" w:hAnsi="Calibri"/>
          <w:b/>
          <w:bCs/>
          <w:color w:val="D97706"/>
          <w:sz w:val="20"/>
          <w:szCs w:val="20"/>
        </w:rPr>
        <w:t xml:space="preserve">⚠  Data lags</w:t>
      </w:r>
    </w:p>
    <w:p>
      <w:pPr>
        <w:spacing w:after="100" w:line="264" w:lineRule="auto"/>
        <w:ind w:left="160"/>
      </w:pPr>
      <w:r>
        <w:rPr>
          <w:rFonts w:ascii="Calibri" w:cs="Calibri" w:eastAsia="Calibri" w:hAnsi="Calibri"/>
          <w:color w:val="374151"/>
          <w:sz w:val="18"/>
          <w:szCs w:val="18"/>
        </w:rPr>
        <w:t xml:space="preserve">Official statistics are published with a lag of 4–8 weeks for monthly data and up to 12 months for annual data (crime, healthcare). Scores may not reflect very recent market shifts.</w:t>
      </w:r>
    </w:p>
    <w:p>
      <w:pPr>
        <w:pBdr>
          <w:bottom w:val="single" w:color="E5E7EB" w:sz="2" w:space="4"/>
        </w:pBdr>
        <w:spacing w:after="200" w:before="200"/>
      </w:pPr>
      <w:r>
        <w:t xml:space="preserve"/>
      </w:r>
    </w:p>
    <w:p>
      <w:pPr>
        <w:pStyle w:val="Heading1"/>
        <w:pBdr>
          <w:bottom w:val="single" w:color="14B8A6" w:sz="6" w:space="6"/>
        </w:pBdr>
        <w:spacing w:after="160" w:before="480"/>
      </w:pPr>
      <w:r>
        <w:rPr>
          <w:rFonts w:ascii="Calibri" w:cs="Calibri" w:eastAsia="Calibri" w:hAnsi="Calibri"/>
          <w:b/>
          <w:bCs/>
          <w:color w:val="111827"/>
          <w:sz w:val="32"/>
          <w:szCs w:val="32"/>
        </w:rPr>
        <w:t xml:space="preserve">6 ·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rFonts w:ascii="Calibri" w:cs="Calibri" w:eastAsia="Calibri" w:hAnsi="Calibri"/>
                <w:b/>
                <w:bCs/>
                <w:color w:val="FFFFFF"/>
                <w:sz w:val="18"/>
                <w:szCs w:val="18"/>
              </w:rPr>
              <w:t xml:space="preserve">Version</w:t>
            </w:r>
          </w:p>
        </w:tc>
        <w:tc>
          <w:tcPr>
            <w:tcW w:type="dxa" w:w="65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Calibri" w:cs="Calibri" w:eastAsia="Calibri" w:hAnsi="Calibri"/>
                <w:b/>
                <w:bCs/>
                <w:color w:val="FFFFFF"/>
                <w:sz w:val="18"/>
                <w:szCs w:val="18"/>
              </w:rPr>
              <w:t xml:space="preserve">Changes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Calibri" w:cs="Calibri" w:eastAsia="Calibri" w:hAnsi="Calibri"/>
                <w:b/>
                <w:bCs/>
                <w:color w:val="374151"/>
                <w:sz w:val="18"/>
                <w:szCs w:val="18"/>
              </w:rPr>
              <w:t xml:space="preserve">Model v4 / Platform v5.0 · Oct 2026</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Current version. Single Source of Truth refactor: all occupation scores computed from lib/fit-engine.ts; static hardcoded data eliminated. Housing component weight increased vs. v3. RPI threshold re-calibrated. Occupation coverage expanded from 8 to 20.</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80"/>
            </w:tcMar>
          </w:tcPr>
          <w:p>
            <w:r>
              <w:rPr>
                <w:rFonts w:ascii="Calibri" w:cs="Calibri" w:eastAsia="Calibri" w:hAnsi="Calibri"/>
                <w:b/>
                <w:bCs/>
                <w:color w:val="374151"/>
                <w:sz w:val="18"/>
                <w:szCs w:val="18"/>
              </w:rPr>
              <w:t xml:space="preserve">Model v3 · Jul 2026</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Added US city coverage (11 cities). EOI extended to US markets. BLS OES integrated for US salaries. Zillow ZHVI integrated as housing price source.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Calibri" w:cs="Calibri" w:eastAsia="Calibri" w:hAnsi="Calibri"/>
                <w:b/>
                <w:bCs/>
                <w:color w:val="374151"/>
                <w:sz w:val="18"/>
                <w:szCs w:val="18"/>
              </w:rPr>
              <w:t xml:space="preserve">Model v2 · Mar 2026</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Split housing score into HPI Years (purchase burden) and RPI % (rental burden). Introduced property-type selector. Added price-adjustment scenario multipliers.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80"/>
            </w:tcMar>
          </w:tcPr>
          <w:p>
            <w:r>
              <w:rPr>
                <w:rFonts w:ascii="Calibri" w:cs="Calibri" w:eastAsia="Calibri" w:hAnsi="Calibri"/>
                <w:b/>
                <w:bCs/>
                <w:color w:val="374151"/>
                <w:sz w:val="18"/>
                <w:szCs w:val="18"/>
              </w:rPr>
              <w:t xml:space="preserve">Model v1 · Jan 2026</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Initial launch. Single price-to-income ratio. Five Canadian cities. City score on four indices (TAI, HAI, EQI, PSI).</w:t>
            </w:r>
          </w:p>
        </w:tc>
      </w:tr>
    </w:tbl>
    <w:p>
      <w:pPr>
        <w:pBdr>
          <w:bottom w:val="single" w:color="E5E7EB" w:sz="2" w:space="4"/>
        </w:pBdr>
        <w:spacing w:after="200" w:before="200"/>
      </w:pPr>
      <w:r>
        <w:t xml:space="preserve"/>
      </w:r>
    </w:p>
    <w:p>
      <w:pPr>
        <w:pStyle w:val="Heading1"/>
        <w:pBdr>
          <w:bottom w:val="single" w:color="14B8A6" w:sz="6" w:space="6"/>
        </w:pBdr>
        <w:spacing w:after="160" w:before="480"/>
      </w:pPr>
      <w:r>
        <w:rPr>
          <w:rFonts w:ascii="Calibri" w:cs="Calibri" w:eastAsia="Calibri" w:hAnsi="Calibri"/>
          <w:b/>
          <w:bCs/>
          <w:color w:val="111827"/>
          <w:sz w:val="32"/>
          <w:szCs w:val="32"/>
        </w:rPr>
        <w:t xml:space="preserve">7 · IP &amp; Disclosure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rFonts w:ascii="Calibri" w:cs="Calibri" w:eastAsia="Calibri" w:hAnsi="Calibri"/>
                <w:b/>
                <w:bCs/>
                <w:color w:val="FFFFFF"/>
                <w:sz w:val="18"/>
                <w:szCs w:val="18"/>
              </w:rPr>
              <w:t xml:space="preserve">Category</w:t>
            </w:r>
          </w:p>
        </w:tc>
        <w:tc>
          <w:tcPr>
            <w:tcW w:type="dxa" w:w="65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Calibri" w:cs="Calibri" w:eastAsia="Calibri" w:hAnsi="Calibri"/>
                <w:b/>
                <w:bCs/>
                <w:color w:val="FFFFFF"/>
                <w:sz w:val="18"/>
                <w:szCs w:val="18"/>
              </w:rPr>
              <w:t xml:space="preserve">Policy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Calibri" w:cs="Calibri" w:eastAsia="Calibri" w:hAnsi="Calibri"/>
                <w:b/>
                <w:bCs/>
                <w:color w:val="374151"/>
                <w:sz w:val="18"/>
                <w:szCs w:val="18"/>
              </w:rPr>
              <w:t xml:space="preserve">What we publish</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Every indicator, its data source, its direction of effect on the score, and all level-band thresholds (HPI, RPI, Fit Score, Housing Pressure Level).</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80"/>
            </w:tcMar>
          </w:tcPr>
          <w:p>
            <w:r>
              <w:rPr>
                <w:rFonts w:ascii="Calibri" w:cs="Calibri" w:eastAsia="Calibri" w:hAnsi="Calibri"/>
                <w:b/>
                <w:bCs/>
                <w:color w:val="374151"/>
                <w:sz w:val="18"/>
                <w:szCs w:val="18"/>
              </w:rPr>
              <w:t xml:space="preserve">What we do not publish</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The exact weight of each component and sub-index in the composite formula. These are proprietary analytical methodology — the core of how we translate public data into actionable city intelligence.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Calibri" w:cs="Calibri" w:eastAsia="Calibri" w:hAnsi="Calibri"/>
                <w:b/>
                <w:bCs/>
                <w:color w:val="374151"/>
                <w:sz w:val="18"/>
                <w:szCs w:val="18"/>
              </w:rPr>
              <w:t xml:space="preserve">Practical implication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Anyone can verify whether a city's individual index values are correct (data is public), and can understand whether a change in any index would improve or worsen the score (direction is published). Precise magnitude of each factor's contribution cannot be reverse-engineered from published information alone.</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80"/>
            </w:tcMar>
          </w:tcPr>
          <w:p>
            <w:r>
              <w:rPr>
                <w:rFonts w:ascii="Calibri" w:cs="Calibri" w:eastAsia="Calibri" w:hAnsi="Calibri"/>
                <w:b/>
                <w:bCs/>
                <w:color w:val="374151"/>
                <w:sz w:val="18"/>
                <w:szCs w:val="18"/>
              </w:rPr>
              <w:t xml:space="preserve">RPI multipliers</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line="264" w:lineRule="auto"/>
            </w:pPr>
            <w:r>
              <w:rPr>
                <w:rFonts w:ascii="Calibri" w:cs="Calibri" w:eastAsia="Calibri" w:hAnsi="Calibri"/>
                <w:color w:val="374151"/>
                <w:sz w:val="18"/>
                <w:szCs w:val="18"/>
              </w:rPr>
              <w:t xml:space="preserve">1BR 0.78×, 3BR 1.35×, Townhouse 1.50×, Detached 1.65× — disclosed as estimates, not empirically sourced per-city figures.</w:t>
            </w:r>
          </w:p>
        </w:tc>
      </w:tr>
    </w:tbl>
    <w:p>
      <w:pPr>
        <w:spacing w:after="320"/>
      </w:pPr>
      <w:r>
        <w:t xml:space="preserve"/>
      </w:r>
    </w:p>
    <w:p>
      <w:pPr>
        <w:pBdr>
          <w:top w:val="single" w:color="E5E7EB" w:sz="2" w:space="8"/>
        </w:pBdr>
        <w:spacing w:before="240"/>
        <w:jc w:val="center"/>
      </w:pPr>
      <w:r>
        <w:rPr>
          <w:rFonts w:ascii="Calibri" w:cs="Calibri" w:eastAsia="Calibri" w:hAnsi="Calibri"/>
          <w:color w:val="6B7280"/>
          <w:sz w:val="18"/>
          <w:szCs w:val="18"/>
        </w:rPr>
        <w:t xml:space="preserve">Lakive City Intelligence Platform  ·  lakive.com  ·  hello@lakive.com</w:t>
      </w:r>
    </w:p>
    <w:p>
      <w:pPr>
        <w:spacing w:before="60"/>
        <w:jc w:val="center"/>
      </w:pPr>
      <w:r>
        <w:rPr>
          <w:rFonts w:ascii="Calibri" w:cs="Calibri" w:eastAsia="Calibri" w:hAnsi="Calibri"/>
          <w:i/>
          <w:iCs/>
          <w:color w:val="6B7280"/>
          <w:sz w:val="16"/>
          <w:szCs w:val="16"/>
        </w:rPr>
        <w:t xml:space="preserve">Last updated: October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tabs>
        <w:tab w:val="right" w:pos="9026"/>
      </w:tabs>
      <w:spacing w:before="0"/>
    </w:pPr>
    <w:r>
      <w:rPr>
        <w:rFonts w:ascii="Calibri" w:cs="Calibri" w:eastAsia="Calibri" w:hAnsi="Calibri"/>
        <w:color w:val="6B7280"/>
        <w:sz w:val="16"/>
        <w:szCs w:val="16"/>
      </w:rPr>
      <w:t xml:space="preserve">hello@lakive.com · lakive.com</w:t>
    </w:r>
    <w:r>
      <w:rPr>
        <w:sz w:val="16"/>
        <w:szCs w:val="16"/>
      </w:rPr>
      <w:t xml:space="preserve">	</w:t>
    </w: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4"/>
      </w:pBdr>
      <w:tabs>
        <w:tab w:val="right" w:pos="9026"/>
      </w:tabs>
      <w:spacing w:after="0"/>
    </w:pPr>
    <w:r>
      <w:rPr>
        <w:rFonts w:ascii="Calibri" w:cs="Calibri" w:eastAsia="Calibri" w:hAnsi="Calibri"/>
        <w:color w:val="6B7280"/>
        <w:sz w:val="16"/>
        <w:szCs w:val="16"/>
      </w:rPr>
      <w:t xml:space="preserve">Lakive City Intelligence — Methodology Reference</w:t>
    </w:r>
    <w:r>
      <w:rPr>
        <w:sz w:val="16"/>
        <w:szCs w:val="16"/>
      </w:rPr>
      <w:t xml:space="preserve">	</w:t>
    </w:r>
    <w:r>
      <w:rPr>
        <w:rFonts w:ascii="Calibri" w:cs="Calibri" w:eastAsia="Calibri" w:hAnsi="Calibri"/>
        <w:color w:val="6B7280"/>
        <w:sz w:val="16"/>
        <w:szCs w:val="16"/>
      </w:rPr>
      <w:t xml:space="preserve">Model v4 · Platform v5.0 ·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Calibri" w:cs="Calibri" w:eastAsia="Calibri" w:hAnsi="Calibri"/>
      <w:b/>
      <w:bCs/>
      <w:color w:val="111827"/>
      <w:sz w:val="32"/>
      <w:szCs w:val="32"/>
    </w:rPr>
  </w:style>
  <w:style w:type="paragraph" w:styleId="Heading2">
    <w:name w:val="Heading 2"/>
    <w:basedOn w:val="Normal"/>
    <w:next w:val="Normal"/>
    <w:qFormat/>
    <w:pPr>
      <w:spacing w:after="120" w:before="320"/>
      <w:outlineLvl w:val="1"/>
    </w:pPr>
    <w:rPr>
      <w:rFonts w:ascii="Calibri" w:cs="Calibri" w:eastAsia="Calibri" w:hAnsi="Calibri"/>
      <w:b/>
      <w:bCs/>
      <w:color w:val="111827"/>
      <w:sz w:val="24"/>
      <w:szCs w:val="24"/>
    </w:rPr>
  </w:style>
  <w:style w:type="paragraph" w:styleId="Heading3">
    <w:name w:val="Heading 3"/>
    <w:basedOn w:val="Normal"/>
    <w:next w:val="Normal"/>
    <w:qFormat/>
    <w:pPr>
      <w:spacing w:after="80" w:before="200"/>
      <w:outlineLvl w:val="2"/>
    </w:pPr>
    <w:rPr>
      <w:rFonts w:ascii="Calibri" w:cs="Calibri" w:eastAsia="Calibri" w:hAnsi="Calibri"/>
      <w:b/>
      <w:bCs/>
      <w:color w:val="111827"/>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2026-10-17T04:26:59.250Z</dcterms:created>
  <dcterms:modified xsi:type="dcterms:W3CDTF">2026-10-17T04:26:59.250Z</dcterms:modified>
</cp:coreProperties>
</file>

<file path=docProps/custom.xml><?xml version="1.0" encoding="utf-8"?>
<Properties xmlns="http://schemas.openxmlformats.org/officeDocument/2006/custom-properties" xmlns:vt="http://schemas.openxmlformats.org/officeDocument/2006/docPropsVTypes"/>
</file>