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B8A6"/>
          <w:sz w:val="22"/>
        </w:rPr>
        <w:t>LAKIVE DEEP DIVE 01</w:t>
      </w:r>
    </w:p>
    <w:p>
      <w:pPr>
        <w:pStyle w:val="Title"/>
      </w:pPr>
      <w:r>
        <w:t>The $61 Billion</w:t>
        <w:br/>
        <w:t>Paradox</w:t>
      </w:r>
    </w:p>
    <w:p>
      <w:r>
        <w:rPr>
          <w:b/>
          <w:color w:val="151827"/>
          <w:sz w:val="34"/>
        </w:rPr>
        <w:t>Canada Can Borrow. But Can Canadians Afford to Live Here?</w:t>
      </w:r>
    </w:p>
    <w:p>
      <w:r>
        <w:rPr>
          <w:color w:val="5D6470"/>
          <w:sz w:val="20"/>
        </w:rPr>
        <w:t>September 2026  |  Canada</w:t>
      </w:r>
    </w:p>
    <w:p/>
    <w:p>
      <w:r>
        <w:rPr>
          <w:b/>
          <w:color w:val="E86C2F"/>
          <w:sz w:val="84"/>
        </w:rPr>
        <w:t>$61.3B</w:t>
      </w:r>
    </w:p>
    <w:p>
      <w:r>
        <w:rPr>
          <w:b/>
          <w:sz w:val="26"/>
        </w:rPr>
        <w:t>Net non-resident purchases of federal government bonds in Q2 2026 — the largest quarterly acquisition on record.</w:t>
      </w:r>
    </w:p>
    <w:p/>
    <w:p>
      <w:r>
        <w:rPr>
          <w:b/>
          <w:color w:val="14B8A6"/>
          <w:sz w:val="18"/>
        </w:rPr>
        <w:t>THE QUESTION</w:t>
      </w:r>
    </w:p>
    <w:p>
      <w:r>
        <w:rPr>
          <w:i/>
          <w:color w:val="151827"/>
          <w:sz w:val="32"/>
        </w:rPr>
        <w:t>If global investors have this much confidence in Canada, why do so many Canadians still feel financially squeezed?</w:t>
      </w:r>
    </w:p>
    <w:p>
      <w:r/>
    </w:p>
    <w:p>
      <w:pPr>
        <w:pStyle w:val="Heading1"/>
      </w:pPr>
      <w:r>
        <w:t>The paradox on one page</w:t>
      </w:r>
    </w:p>
    <w:p>
      <w:r>
        <w:t>In Q2 2026, foreign investors bought a net C$61.3 billion of federal government bonds, while total foreign purchases of Canadian government bonds reached C$80.8 billion. At the same time, foreign investors reduced Canadian equity holdings by C$9.6 billion, and Canadian investors bought C$35.5 billion of foreign equities.</w:t>
      </w:r>
      <w:r>
        <w:rPr>
          <w:color w:val="5A606E"/>
          <w:sz w:val="16"/>
        </w:rPr>
        <w:t xml:space="preserve"> [1][3]</w:t>
      </w:r>
    </w:p>
    <w:p>
      <w:r>
        <w:t>That pattern does not say simply that “the world is buying Canada.” It says global capital showed extraordinary demand for Canadian debt — especially sovereign debt — while Canadian portfolios continued to seek growth assets abroad.</w:t>
      </w:r>
    </w:p>
    <w:p>
      <w:r>
        <w:t>This report asks a more useful question for ordinary households: how effectively does Canada convert financial credibility into productive investment, real wages, services, housing affordability and ultimately a better city life?</w:t>
      </w:r>
    </w:p>
    <w:p>
      <w:pPr>
        <w:jc w:val="center"/>
      </w:pPr>
      <w:r/>
    </w:p>
    <w:p>
      <w:pPr>
        <w:jc w:val="center"/>
      </w:pPr>
      <w:r>
        <w:rPr>
          <w:b/>
          <w:sz w:val="18"/>
        </w:rPr>
        <w:t>Figure 1. Foreign investment in Canadian securities, Q2 2026</w:t>
      </w:r>
    </w:p>
    <w:p>
      <w:pPr>
        <w:jc w:val="center"/>
      </w:pPr>
      <w:r>
        <w:rPr>
          <w:color w:val="5D6470"/>
          <w:sz w:val="15"/>
        </w:rPr>
        <w:t>Source: Statistics Canada, Balance of International Payments, Q2 2026; National Balance Sheet and Financial Flow Accounts, Q2 2026.</w:t>
      </w:r>
      <w:r>
        <w:rPr>
          <w:sz w:val="16"/>
        </w:rPr>
        <w:t xml:space="preserve"> [1][3]</w:t>
      </w:r>
    </w:p>
    <w:p>
      <w:pPr>
        <w:pStyle w:val="Heading1"/>
      </w:pPr>
      <w:r>
        <w:t>1. What did foreign investors actually buy?</w:t>
      </w:r>
    </w:p>
    <w:p>
      <w:r>
        <w:t>They did not simply invest C$61.3 billion “in Canada.” They bought federal government bonds. Across Canadian securities, foreign investors added C$100.6 billion in Q2, including a record C$110.2 billion in debt securities. Government bonds accounted for C$80.8 billion, while Canadian equities saw a C$9.6 billion divestment.</w:t>
      </w:r>
      <w:r>
        <w:rPr>
          <w:color w:val="5A606E"/>
          <w:sz w:val="16"/>
        </w:rPr>
        <w:t xml:space="preserve"> [1][3]</w:t>
      </w:r>
    </w:p>
    <w:p>
      <w:r>
        <w:t>The distinction is fundamental. Buying a company's shares is primarily a bet on future earnings. Building a factory is a bet on production. Buying a sovereign bond is primarily a decision about creditworthiness, yield, liquidity, currency exposure and risk.</w:t>
      </w:r>
    </w:p>
    <w:p>
      <w:r>
        <w:t>So the first question is not whether foreign investors believe in Canada. It is: what exactly about Canada do they believe in?</w:t>
      </w:r>
    </w:p>
    <w:p>
      <w:pPr>
        <w:pStyle w:val="Heading1"/>
      </w:pPr>
      <w:r>
        <w:t>2. Are investors betting on Canadian strength — or weakness?</w:t>
      </w:r>
    </w:p>
    <w:p>
      <w:r>
        <w:t>There are at least three plausible explanations, and they can coexist.</w:t>
      </w:r>
    </w:p>
    <w:p>
      <w:pPr>
        <w:pStyle w:val="Heading2"/>
      </w:pPr>
      <w:r>
        <w:t>Confidence trade</w:t>
      </w:r>
    </w:p>
    <w:p>
      <w:r>
        <w:t>Canada remains a developed economy with mature institutions, deep financial markets and a federal government viewed as a highly credible borrower. Record bond demand can therefore be a vote of confidence in Canada's ability to service its debt.</w:t>
      </w:r>
      <w:r>
        <w:rPr>
          <w:color w:val="5A606E"/>
          <w:sz w:val="16"/>
        </w:rPr>
        <w:t xml:space="preserve"> [4][5]</w:t>
      </w:r>
    </w:p>
    <w:p>
      <w:pPr>
        <w:pStyle w:val="Heading2"/>
      </w:pPr>
      <w:r>
        <w:t>Safety trade</w:t>
      </w:r>
    </w:p>
    <w:p>
      <w:r>
        <w:t>Large global institutions require liquid, relatively low-risk assets. Canadian sovereign bonds can satisfy that need even when Canada's growth outlook is modest.</w:t>
      </w:r>
    </w:p>
    <w:p>
      <w:pPr>
        <w:pStyle w:val="Heading2"/>
      </w:pPr>
      <w:r>
        <w:t>Rates trade</w:t>
      </w:r>
    </w:p>
    <w:p>
      <w:r>
        <w:t>Slower growth and softer inflation can make bonds attractive if investors expect lower future yields. But the Q2 2026 data do not prove that this was the dominant motive. The Bank of Canada's Q2 Market Participants Survey showed a median expectation of a 2.25% policy rate through the end of 2026, with risks split across higher, lower and broadly balanced paths.</w:t>
      </w:r>
    </w:p>
    <w:p>
      <w:r>
        <w:t>The disciplined conclusion is therefore narrower: record bond demand is not, by itself, proof of strong expected Canadian economic growth.</w:t>
      </w:r>
    </w:p>
    <w:p>
      <w:pPr>
        <w:jc w:val="center"/>
      </w:pPr>
      <w:r/>
    </w:p>
    <w:p>
      <w:pPr>
        <w:jc w:val="center"/>
      </w:pPr>
      <w:r>
        <w:rPr>
          <w:b/>
          <w:sz w:val="18"/>
        </w:rPr>
        <w:t>Figure 2. Non-resident share of outstanding federal government bonds</w:t>
      </w:r>
    </w:p>
    <w:p>
      <w:pPr>
        <w:jc w:val="center"/>
      </w:pPr>
      <w:r>
        <w:rPr>
          <w:color w:val="5D6470"/>
          <w:sz w:val="15"/>
        </w:rPr>
        <w:t>Source: Statistics Canada, Canada's International Investment Position, Q2 2026.</w:t>
      </w:r>
      <w:r>
        <w:rPr>
          <w:sz w:val="16"/>
        </w:rPr>
        <w:t xml:space="preserve"> [2]</w:t>
      </w:r>
    </w:p>
    <w:p>
      <w:pPr>
        <w:pStyle w:val="Heading1"/>
      </w:pPr>
      <w:r>
        <w:t>3. Why are Canadians investing abroad?</w:t>
      </w:r>
    </w:p>
    <w:p>
      <w:r>
        <w:t>While foreign investors were accumulating Canadian debt, Canadian investors purchased C$45.6 billion of foreign securities in Q2, including C$35.5 billion of foreign equities on a net basis. Gross purchases of U.S. shares reached C$37.8 billion, reflecting the scale of two-way trading activity in American markets.</w:t>
      </w:r>
      <w:r>
        <w:rPr>
          <w:color w:val="5A606E"/>
          <w:sz w:val="16"/>
        </w:rPr>
        <w:t xml:space="preserve"> [1]</w:t>
      </w:r>
    </w:p>
    <w:p>
      <w:r>
        <w:t>Diversification is normal and should not be interpreted as a vote against Canada. Yet the contrast is worth tracking: foreign capital was strongly attracted to Canadian debt while Canadian portfolios were allocating heavily toward foreign growth assets.</w:t>
      </w:r>
    </w:p>
    <w:p>
      <w:r>
        <w:t>One quarter cannot establish a structural trend. But it raises a long-term question: is Canada becoming exceptionally good at attracting capital to finance stability, while being less successful at retaining risk capital for future domestic growth?</w:t>
      </w:r>
    </w:p>
    <w:p>
      <w:pPr>
        <w:jc w:val="center"/>
      </w:pPr>
      <w:r/>
    </w:p>
    <w:p>
      <w:pPr>
        <w:jc w:val="center"/>
      </w:pPr>
      <w:r>
        <w:rPr>
          <w:b/>
          <w:sz w:val="18"/>
        </w:rPr>
        <w:t>Figure 3. The portfolio contrast</w:t>
      </w:r>
    </w:p>
    <w:p>
      <w:pPr>
        <w:jc w:val="center"/>
      </w:pPr>
      <w:r>
        <w:rPr>
          <w:color w:val="5D6470"/>
          <w:sz w:val="15"/>
        </w:rPr>
        <w:t>Source: Statistics Canada, Balance of International Payments, Q2 2026.</w:t>
      </w:r>
      <w:r>
        <w:rPr>
          <w:sz w:val="16"/>
        </w:rPr>
        <w:t xml:space="preserve"> [1][3]</w:t>
      </w:r>
    </w:p>
    <w:p>
      <w:pPr>
        <w:pStyle w:val="Heading1"/>
      </w:pPr>
      <w:r>
        <w:t>4. Does Canada have a shortage of capital?</w:t>
      </w:r>
    </w:p>
    <w:p>
      <w:r>
        <w:t>The record bond inflow suggests that Canada's problem cannot be described simply as a lack of money willing to enter the country. Canada can attract very large pools of global capital.</w:t>
      </w:r>
    </w:p>
    <w:p>
      <w:r>
        <w:t>The deeper issue is allocation. Capital can finance electricity grids, housing-enabling infrastructure, ports, transit, factories, machinery, technology and research — investments that can expand productive capacity. It can also finance existing assets, consumption, financial transactions and public expenditures that may be valuable but do not necessarily raise future productivity.</w:t>
      </w:r>
    </w:p>
    <w:p>
      <w:r>
        <w:rPr>
          <w:b/>
          <w:color w:val="14B8A6"/>
        </w:rPr>
        <w:t xml:space="preserve">The core question: </w:t>
      </w:r>
      <w:r>
        <w:t>Does Canada have a capital shortage — or a capital-allocation problem?</w:t>
      </w:r>
    </w:p>
    <w:p>
      <w:pPr>
        <w:pStyle w:val="Heading1"/>
      </w:pPr>
      <w:r>
        <w:t>5. If Canada can borrow, what are we borrowing for?</w:t>
      </w:r>
    </w:p>
    <w:p>
      <w:r>
        <w:t>Government debt is not automatically negative. Borrowing to build productive assets can leave future generations both a liability and an asset. Borrowing for current needs can also be necessary, but it has a different long-term economic effect.</w:t>
      </w:r>
    </w:p>
    <w:p>
      <w:r>
        <w:t>The relevant test is not whether government borrowing exists. It is whether Canada's financing capacity is strengthening future productive capacity enough to support the debt and improve living standards.</w:t>
      </w:r>
    </w:p>
    <w:p>
      <w:pPr>
        <w:jc w:val="center"/>
      </w:pPr>
      <w:r/>
    </w:p>
    <w:p>
      <w:pPr>
        <w:jc w:val="center"/>
      </w:pPr>
      <w:r>
        <w:rPr>
          <w:b/>
          <w:sz w:val="18"/>
        </w:rPr>
        <w:t>Figure 4. Government gross debt and nominal GDP per capita, Q2 2026</w:t>
      </w:r>
    </w:p>
    <w:p>
      <w:pPr>
        <w:jc w:val="center"/>
      </w:pPr>
      <w:r>
        <w:rPr>
          <w:color w:val="5D6470"/>
          <w:sz w:val="15"/>
        </w:rPr>
        <w:t>Source: Statistics Canada, National Balance Sheet and Financial Flow Accounts, Q2 2026.</w:t>
      </w:r>
      <w:r>
        <w:rPr>
          <w:sz w:val="16"/>
        </w:rPr>
        <w:t xml:space="preserve"> [3]</w:t>
      </w:r>
    </w:p>
    <w:p>
      <w:pPr>
        <w:pStyle w:val="Heading1"/>
      </w:pPr>
      <w:r>
        <w:t>6. How does national financial strength reach a household?</w:t>
      </w:r>
    </w:p>
    <w:p>
      <w:r>
        <w:t>A federal bond can seem remote from someone's rent, mortgage renewal, salary, commute or access to services. But the systems are connected.</w:t>
      </w:r>
    </w:p>
    <w:p>
      <w:pPr>
        <w:jc w:val="center"/>
      </w:pPr>
      <w:r/>
    </w:p>
    <w:p>
      <w:pPr>
        <w:jc w:val="center"/>
      </w:pPr>
      <w:r>
        <w:rPr>
          <w:b/>
          <w:sz w:val="18"/>
        </w:rPr>
        <w:t>Figure 5. Lakive's capital-to-life transmission map</w:t>
      </w:r>
    </w:p>
    <w:p>
      <w:pPr>
        <w:jc w:val="center"/>
      </w:pPr>
      <w:r>
        <w:rPr>
          <w:color w:val="5D6470"/>
          <w:sz w:val="15"/>
        </w:rPr>
        <w:t>Conceptual framework by Lakive. Arrows indicate channels of transmission, not one-to-one causal relationships.</w:t>
      </w:r>
    </w:p>
    <w:p>
      <w:r>
        <w:t>The question is how efficiently prosperity travels through this chain. Strong sovereign credit does not automatically produce strong wage growth. Higher GDP does not automatically mean higher GDP per person. Lower financing costs do not automatically make housing affordable. More public spending does not automatically create more service capacity per resident.</w:t>
      </w:r>
    </w:p>
    <w:p>
      <w:pPr>
        <w:pStyle w:val="Heading1"/>
      </w:pPr>
      <w:r>
        <w:t>7. Why can Canada be wealthy while households feel squeezed?</w:t>
      </w:r>
    </w:p>
    <w:p>
      <w:r>
        <w:t>Canada's net international investment position reached C$1.9455 trillion in Q2 2026, rising C$619.2 billion in one quarter. But most of that increase was not new money earned by Canadian households. Market-price revaluations contributed C$495.8 billion, while exchange-rate revaluations contributed C$123.7 billion.</w:t>
      </w:r>
      <w:r>
        <w:rPr>
          <w:color w:val="5A606E"/>
          <w:sz w:val="16"/>
        </w:rPr>
        <w:t xml:space="preserve"> [2]</w:t>
      </w:r>
    </w:p>
    <w:p>
      <w:r>
        <w:t>This is an essential distinction: national financial wealth is not the same thing as household affordability. Canadian-owned assets can rise dramatically in value while a renter still struggles to save a down payment or a worker's real purchasing power barely changes.</w:t>
      </w:r>
    </w:p>
    <w:p>
      <w:pPr>
        <w:jc w:val="center"/>
      </w:pPr>
      <w:r/>
    </w:p>
    <w:p>
      <w:pPr>
        <w:jc w:val="center"/>
      </w:pPr>
      <w:r>
        <w:rPr>
          <w:b/>
          <w:sz w:val="18"/>
        </w:rPr>
        <w:t>Figure 6. What drove the C$619.2B rise in Canada's net international investment position</w:t>
      </w:r>
    </w:p>
    <w:p>
      <w:pPr>
        <w:jc w:val="center"/>
      </w:pPr>
      <w:r>
        <w:rPr>
          <w:color w:val="5D6470"/>
          <w:sz w:val="15"/>
        </w:rPr>
        <w:t>Source: Statistics Canada, Canada's International Investment Position, Q2 2026.</w:t>
      </w:r>
      <w:r>
        <w:rPr>
          <w:sz w:val="16"/>
        </w:rPr>
        <w:t xml:space="preserve"> [2]</w:t>
      </w:r>
    </w:p>
    <w:p>
      <w:pPr>
        <w:pStyle w:val="Heading1"/>
      </w:pPr>
      <w:r>
        <w:t>8. Is Canada rewarding ownership more than work?</w:t>
      </w:r>
    </w:p>
    <w:p>
      <w:r>
        <w:t>For many younger households and newcomers, the primary economic asset is labour. Income from work must first pay for housing, transportation, food, childcare, taxes and other necessities before it can become savings.</w:t>
      </w:r>
    </w:p>
    <w:p>
      <w:r>
        <w:t>Households that already own appreciating financial or housing assets begin from a different position. If asset values rise faster than labour income for long periods, a country can become wealthier while access to wealth becomes harder.</w:t>
      </w:r>
    </w:p>
    <w:p>
      <w:r>
        <w:t>The more useful question is therefore: what can my work actually buy where I live? Income alone cannot answer it. Housing, essential costs, local wages and access to services must be examined together — and the answer differs sharply from city to city.</w:t>
      </w:r>
    </w:p>
    <w:p>
      <w:pPr>
        <w:pStyle w:val="Heading1"/>
      </w:pPr>
      <w:r>
        <w:t>9. Where does the transmission break?</w:t>
      </w:r>
    </w:p>
    <w:p>
      <w:r>
        <w:t>Canada can attract global capital, maintain a large net foreign asset position and retain strong sovereign financing capacity while still facing structural concerns around productivity, business investment, housing affordability and household purchasing power.</w:t>
      </w:r>
    </w:p>
    <w:p>
      <w:r>
        <w:t>If both observations are true, the weakness may lie in the transmission mechanism: capital may not reach productive investment quickly enough; infrastructure may take too long to build; housing supply may respond slowly; productivity may not generate sufficient real-wage gains; or asset appreciation may benefit existing owners more than workers.</w:t>
      </w:r>
    </w:p>
    <w:p>
      <w:r>
        <w:t>The most useful question is therefore no longer simply “Is Canada wealthy?” It is: how effectively does Canada's wealth become Canadian living standards?</w:t>
      </w:r>
    </w:p>
    <w:p>
      <w:pPr>
        <w:pStyle w:val="Heading1"/>
      </w:pPr>
      <w:r>
        <w:t>10. What does this mean for cities across Canada?</w:t>
      </w:r>
    </w:p>
    <w:p>
      <w:r>
        <w:t>Federal bonds, the Canadian dollar and Bank of Canada policy are national. The cost of living is local.</w:t>
      </w:r>
    </w:p>
    <w:p>
      <w:r>
        <w:t>The same national financial system produces very different lived outcomes across the country. High-cost metropolitan areas can overwhelm strong salaries with housing costs. Lower-cost cities can offer greater purchasing power but may have different labour-market depth, wages, infrastructure, healthcare access or transportation. Resource-oriented cities move through different cycles from manufacturing centres. Fast-growing smaller cities may see housing, schools and healthcare struggle to keep pace.</w:t>
      </w:r>
    </w:p>
    <w:p>
      <w:r>
        <w:t>The transmission therefore runs from Canada's financial position to national conditions, provincial economies, local labour and housing markets, local services, household income and expenses — and finally to actual quality of life.</w:t>
      </w:r>
    </w:p>
    <w:p>
      <w:r>
        <w:t>There is no single Canadian answer. Every city sits at a different point in the system, and every household experiences that city differently.</w:t>
      </w:r>
    </w:p>
    <w:p>
      <w:pPr>
        <w:pStyle w:val="Heading1"/>
      </w:pPr>
      <w:r>
        <w:t>The real Canadian paradox</w:t>
      </w:r>
    </w:p>
    <w:p>
      <w:r>
        <w:rPr>
          <w:b/>
          <w:color w:val="151827"/>
          <w:sz w:val="32"/>
        </w:rPr>
        <w:t>The world is willing to lend to Canada. What will Canada do with that trust?</w:t>
      </w:r>
    </w:p>
    <w:p>
      <w:r>
        <w:t>The C$61.3 billion record is meaningful evidence of Canada's continuing ability to attract international capital to its sovereign debt market. It is not proof of rapid future growth, rising household prosperity or improving housing affordability.</w:t>
      </w:r>
    </w:p>
    <w:p>
      <w:r>
        <w:t>Canada possesses something enormously valuable: financial credibility. The challenge is converting that credibility into infrastructure, productivity, real wages, services and housing supply — and then ensuring those gains survive the journey through local costs to reach households.</w:t>
      </w:r>
    </w:p>
    <w:p>
      <w:r>
        <w:rPr>
          <w:b/>
          <w:color w:val="E86C2F"/>
          <w:sz w:val="36"/>
        </w:rPr>
        <w:t>What can the life I build here actually afford?</w:t>
      </w:r>
    </w:p>
    <w:p>
      <w:r>
        <w:t xml:space="preserve">Use Lakive’s City Fit Calculator to see how your income, occupation and housing choices interact across Canadian and U.S. cities — and find where your work goes furthest. </w:t>
      </w:r>
      <w:hyperlink r:id="rId17">
        <w:r>
          <w:rPr>
            <w:color w:val="14B8A6"/>
            <w:u w:val="single"/>
            <w:b/>
          </w:rPr>
          <w:t>Calculate my city fit →</w:t>
        </w:r>
      </w:hyperlink>
    </w:p>
    <w:p>
      <w:pPr>
        <w:pStyle w:val="Heading1"/>
      </w:pPr>
      <w:r>
        <w:t>References &amp; data notes</w:t>
      </w:r>
    </w:p>
    <w:p>
      <w:pPr>
        <w:spacing w:after="80"/>
      </w:pPr>
      <w:r>
        <w:rPr>
          <w:sz w:val="18"/>
        </w:rPr>
        <w:t xml:space="preserve">[1] Statistics Canada (2026-08-27). Canada's balance of international payments, second quarter 2026. The Daily. </w:t>
      </w:r>
      <w:hyperlink r:id="rId17">
        <w:r>
          <w:rPr>
            <w:color w:val="0563C1"/>
            <w:u w:val="single"/>
          </w:rPr>
          <w:t>Official source</w:t>
        </w:r>
      </w:hyperlink>
    </w:p>
    <w:p>
      <w:pPr>
        <w:spacing w:after="80"/>
      </w:pPr>
      <w:r>
        <w:rPr>
          <w:sz w:val="18"/>
        </w:rPr>
        <w:t xml:space="preserve">[2] Statistics Canada (2026-09-10). Canada's international investment position, second quarter 2026. The Daily. Source table: 36-10-0485-01. </w:t>
      </w:r>
      <w:hyperlink r:id="rId18">
        <w:r>
          <w:rPr>
            <w:color w:val="0563C1"/>
            <w:u w:val="single"/>
          </w:rPr>
          <w:t>Official source</w:t>
        </w:r>
      </w:hyperlink>
    </w:p>
    <w:p>
      <w:pPr>
        <w:spacing w:after="80"/>
      </w:pPr>
      <w:r>
        <w:rPr>
          <w:sz w:val="18"/>
        </w:rPr>
        <w:t xml:space="preserve">[3] Statistics Canada (2026-09-11). National balance sheet and financial flow accounts, second quarter 2026. The Daily. </w:t>
      </w:r>
      <w:hyperlink r:id="rId19">
        <w:r>
          <w:rPr>
            <w:color w:val="0563C1"/>
            <w:u w:val="single"/>
          </w:rPr>
          <w:t>Official source</w:t>
        </w:r>
      </w:hyperlink>
    </w:p>
    <w:p>
      <w:pPr>
        <w:spacing w:after="80"/>
      </w:pPr>
      <w:r>
        <w:rPr>
          <w:sz w:val="18"/>
        </w:rPr>
        <w:t xml:space="preserve">[4] Bank of Canada (2026-07-27). Market Participants Survey — Second Quarter of 2026. </w:t>
      </w:r>
      <w:hyperlink r:id="rId20">
        <w:r>
          <w:rPr>
            <w:color w:val="0563C1"/>
            <w:u w:val="single"/>
          </w:rPr>
          <w:t>Official source</w:t>
        </w:r>
      </w:hyperlink>
    </w:p>
    <w:p>
      <w:pPr>
        <w:spacing w:after="80"/>
      </w:pPr>
      <w:r>
        <w:rPr>
          <w:sz w:val="18"/>
        </w:rPr>
        <w:t xml:space="preserve">[5] Bank of Canada (2026-09-02). Bank of Canada maintains the policy rate at 2¼%. </w:t>
      </w:r>
      <w:hyperlink r:id="rId21">
        <w:r>
          <w:rPr>
            <w:color w:val="0563C1"/>
            <w:u w:val="single"/>
          </w:rPr>
          <w:t>Official source</w:t>
        </w:r>
      </w:hyperlink>
    </w:p>
    <w:p>
      <w:pPr>
        <w:spacing w:after="80"/>
      </w:pPr>
      <w:r>
        <w:rPr>
          <w:sz w:val="18"/>
        </w:rPr>
        <w:t xml:space="preserve">[6] Statistics Canada. Table 36-10-0472-01 — Balance of international payments, financial account, quarterly. </w:t>
      </w:r>
      <w:hyperlink r:id="rId22">
        <w:r>
          <w:rPr>
            <w:color w:val="0563C1"/>
            <w:u w:val="single"/>
          </w:rPr>
          <w:t>Official source</w:t>
        </w:r>
      </w:hyperlink>
    </w:p>
    <w:p>
      <w:r>
        <w:rPr>
          <w:b/>
        </w:rPr>
        <w:t xml:space="preserve">Interpretation note. </w:t>
      </w:r>
      <w:r>
        <w:t>The C$61.3 billion figure is a net flow of non-resident purchases of federal government bonds in Q2 2026. It is not C$61.3 billion of foreign direct investment. The official aggregate releases do not identify one single investor motive, so this report treats sovereign-credit confidence, safe-asset demand and interest-rate positioning as competing or overlapping explanations rather than established causes.</w:t>
      </w:r>
    </w:p>
    <w:p>
      <w:r>
        <w:rPr>
          <w:b/>
        </w:rPr>
        <w:t xml:space="preserve">Citation method. </w:t>
      </w:r>
      <w:r>
        <w:t>Bracketed numbers in the text and beneath figures correspond to the numbered official sources above.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470"/>
        <w:sz w:val="16"/>
      </w:rPr>
      <w:t>lakive.com   •   From Data to Belonging.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4B8A6"/>
        <w:sz w:val="16"/>
      </w:rPr>
      <w:t>LAKIVE   |   DEEP DIVE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51827"/>
      <w:sz w:val="3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4B8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5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150.statcan.gc.ca/n1/daily-quotidien/260827/dq260827a-eng.htm" TargetMode="External"/><Relationship Id="rId18" Type="http://schemas.openxmlformats.org/officeDocument/2006/relationships/hyperlink" Target="https://www150.statcan.gc.ca/n1/daily-quotidien/260910/dq260910a-eng.htm" TargetMode="External"/><Relationship Id="rId19" Type="http://schemas.openxmlformats.org/officeDocument/2006/relationships/hyperlink" Target="https://www150.statcan.gc.ca/n1/daily-quotidien/260911/dq260911a-eng.htm" TargetMode="External"/><Relationship Id="rId20" Type="http://schemas.openxmlformats.org/officeDocument/2006/relationships/hyperlink" Target="https://www.bankofcanada.ca/2026/07/market-participants-survey-second-quarter-of-2026/" TargetMode="External"/><Relationship Id="rId21" Type="http://schemas.openxmlformats.org/officeDocument/2006/relationships/hyperlink" Target="https://www.bankofcanada.ca/2026/09/fad-press-release-2026-09-02/" TargetMode="External"/><Relationship Id="rId22" Type="http://schemas.openxmlformats.org/officeDocument/2006/relationships/hyperlink" Target="https://www150.statcan.gc.ca/t1/tbl1/en/tv.action?pid=3610047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