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drawing>
          <wp:inline distT="0" distB="0" distL="0" distR="0">
            <wp:extent cx="2667000" cy="733425"/>
            <wp:effectExtent t="0" r="0" b="0" l="0"/>
            <wp:docPr id="1" name="Lakive" descr="Lakive logo" title="Lak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733425"/>
                    </a:xfrm>
                    <a:prstGeom prst="rect">
                      <a:avLst/>
                    </a:prstGeom>
                  </pic:spPr>
                </pic:pic>
              </a:graphicData>
            </a:graphic>
          </wp:inline>
        </w:drawing>
      </w:r>
    </w:p>
    <w:p>
      <w:pPr>
        <w:pBdr>
          <w:bottom w:val="single" w:color="14B8A6" w:sz="12" w:space="1"/>
        </w:pBdr>
        <w:spacing w:after="360" w:before="0"/>
      </w:pPr>
      <w:r>
        <w:rPr>
          <w:rFonts w:ascii="Calibri" w:cs="Calibri" w:eastAsia="Calibri" w:hAnsi="Calibri"/>
          <w:color w:val="94A3B8"/>
          <w:sz w:val="20"/>
          <w:szCs w:val="20"/>
        </w:rPr>
        <w:t xml:space="preserve">Canada Monthly Report — September 2026</w:t>
      </w:r>
      <w:r>
        <w:rPr>
          <w:rFonts w:ascii="Calibri" w:cs="Calibri" w:eastAsia="Calibri" w:hAnsi="Calibri"/>
          <w:color w:val="94A3B8"/>
          <w:sz w:val="18"/>
          <w:szCs w:val="18"/>
        </w:rPr>
        <w:t xml:space="preserve">     Published October 5, 2026</w:t>
      </w:r>
    </w:p>
    <w:p>
      <w:pPr>
        <w:spacing w:after="60" w:before="240"/>
      </w:pPr>
      <w:r>
        <w:rPr>
          <w:rFonts w:ascii="Calibri" w:cs="Calibri" w:eastAsia="Calibri" w:hAnsi="Calibri"/>
          <w:b/>
          <w:bCs/>
          <w:color w:val="0A1628"/>
          <w:sz w:val="52"/>
          <w:szCs w:val="52"/>
        </w:rPr>
        <w:t xml:space="preserve">Canada — September 2026</w:t>
      </w:r>
    </w:p>
    <w:p>
      <w:pPr>
        <w:spacing w:after="480" w:before="0"/>
      </w:pPr>
      <w:r>
        <w:rPr>
          <w:rFonts w:ascii="Calibri" w:cs="Calibri" w:eastAsia="Calibri" w:hAnsi="Calibri"/>
          <w:b/>
          <w:bCs/>
          <w:color w:val="E86C2F"/>
          <w:sz w:val="40"/>
          <w:szCs w:val="40"/>
        </w:rPr>
        <w:t xml:space="preserve">Stability Without Relief</w:t>
      </w:r>
    </w:p>
    <w:p>
      <w:pPr>
        <w:pStyle w:val="Heading1"/>
        <w:spacing w:after="120" w:before="480"/>
      </w:pPr>
      <w:r>
        <w:rPr>
          <w:rFonts w:ascii="Calibri" w:cs="Calibri" w:eastAsia="Calibri" w:hAnsi="Calibri"/>
          <w:b/>
          <w:bCs/>
          <w:color w:val="1E3A5F"/>
          <w:sz w:val="36"/>
          <w:szCs w:val="36"/>
        </w:rPr>
        <w:t xml:space="preserve">Executive Summary</w:t>
      </w:r>
    </w:p>
    <w:p>
      <w:pPr>
        <w:spacing w:after="180" w:before="0" w:line="276"/>
      </w:pPr>
      <w:r>
        <w:rPr>
          <w:rFonts w:ascii="Calibri" w:cs="Calibri" w:eastAsia="Calibri" w:hAnsi="Calibri"/>
          <w:color w:val="1E293B"/>
          <w:sz w:val="22"/>
          <w:szCs w:val="22"/>
        </w:rPr>
        <w:t xml:space="preserve">Canada's housing, rental, and labour markets entered autumn 2026 in a state best described as managed equilibrium — not improving, not deteriorating, but not delivering the genuine affordability relief that movers and renters have been waiting for. The Bank of Canada held its overnight rate at </w:t>
      </w:r>
      <w:r>
        <w:rPr>
          <w:rFonts w:ascii="Calibri" w:cs="Calibri" w:eastAsia="Calibri" w:hAnsi="Calibri"/>
          <w:b/>
          <w:bCs/>
          <w:color w:val="1E293B"/>
          <w:sz w:val="22"/>
          <w:szCs w:val="22"/>
        </w:rPr>
        <w:t xml:space="preserve">2.25%</w:t>
      </w:r>
      <w:r>
        <w:rPr>
          <w:rFonts w:ascii="Calibri" w:cs="Calibri" w:eastAsia="Calibri" w:hAnsi="Calibri"/>
          <w:color w:val="1E293B"/>
          <w:sz w:val="22"/>
          <w:szCs w:val="22"/>
        </w:rPr>
        <w:t xml:space="preserve"> for the sixth consecutive meeting on September 2. National home prices are down </w:t>
      </w:r>
      <w:r>
        <w:rPr>
          <w:rFonts w:ascii="Calibri" w:cs="Calibri" w:eastAsia="Calibri" w:hAnsi="Calibri"/>
          <w:b/>
          <w:bCs/>
          <w:color w:val="1E293B"/>
          <w:sz w:val="22"/>
          <w:szCs w:val="22"/>
        </w:rPr>
        <w:t xml:space="preserve">3.0% year-over-year</w:t>
      </w:r>
      <w:r>
        <w:rPr>
          <w:rFonts w:ascii="Calibri" w:cs="Calibri" w:eastAsia="Calibri" w:hAnsi="Calibri"/>
          <w:color w:val="1E293B"/>
          <w:sz w:val="22"/>
          <w:szCs w:val="22"/>
        </w:rPr>
        <w:t xml:space="preserve"> but the pace of decline is slowing, and the RBC national affordability measure still stands at </w:t>
      </w:r>
      <w:r>
        <w:rPr>
          <w:rFonts w:ascii="Calibri" w:cs="Calibri" w:eastAsia="Calibri" w:hAnsi="Calibri"/>
          <w:b/>
          <w:bCs/>
          <w:color w:val="1E293B"/>
          <w:sz w:val="22"/>
          <w:szCs w:val="22"/>
        </w:rPr>
        <w:t xml:space="preserve">52.8% of household income</w:t>
      </w:r>
      <w:r>
        <w:rPr>
          <w:rFonts w:ascii="Calibri" w:cs="Calibri" w:eastAsia="Calibri" w:hAnsi="Calibri"/>
          <w:color w:val="1E293B"/>
          <w:sz w:val="22"/>
          <w:szCs w:val="22"/>
        </w:rPr>
        <w:t xml:space="preserve"> — well above a comfortable threshold.</w:t>
      </w:r>
    </w:p>
    <w:p>
      <w:pPr>
        <w:spacing w:after="180" w:before="0" w:line="276"/>
      </w:pPr>
      <w:r>
        <w:rPr>
          <w:rFonts w:ascii="Calibri" w:cs="Calibri" w:eastAsia="Calibri" w:hAnsi="Calibri"/>
          <w:color w:val="1E293B"/>
          <w:sz w:val="22"/>
          <w:szCs w:val="22"/>
        </w:rPr>
        <w:t xml:space="preserve">Rents are falling — the national average asking rent of </w:t>
      </w:r>
      <w:r>
        <w:rPr>
          <w:rFonts w:ascii="Calibri" w:cs="Calibri" w:eastAsia="Calibri" w:hAnsi="Calibri"/>
          <w:b/>
          <w:bCs/>
          <w:color w:val="1E293B"/>
          <w:sz w:val="22"/>
          <w:szCs w:val="22"/>
        </w:rPr>
        <w:t xml:space="preserve">$2,035</w:t>
      </w:r>
      <w:r>
        <w:rPr>
          <w:rFonts w:ascii="Calibri" w:cs="Calibri" w:eastAsia="Calibri" w:hAnsi="Calibri"/>
          <w:color w:val="1E293B"/>
          <w:sz w:val="22"/>
          <w:szCs w:val="22"/>
        </w:rPr>
        <w:t xml:space="preserve"> marks the 23rd consecutive month of annual decline — but the headline conceals a wide split: Calgary and Vancouver are correcting sharply, while Halifax is running a tight, rising market. On the jobs front, August delivered </w:t>
      </w:r>
      <w:r>
        <w:rPr>
          <w:rFonts w:ascii="Calibri" w:cs="Calibri" w:eastAsia="Calibri" w:hAnsi="Calibri"/>
          <w:b/>
          <w:bCs/>
          <w:color w:val="1E293B"/>
          <w:sz w:val="22"/>
          <w:szCs w:val="22"/>
        </w:rPr>
        <w:t xml:space="preserve">42,000 job losses</w:t>
      </w:r>
      <w:r>
        <w:rPr>
          <w:rFonts w:ascii="Calibri" w:cs="Calibri" w:eastAsia="Calibri" w:hAnsi="Calibri"/>
          <w:color w:val="1E293B"/>
          <w:sz w:val="22"/>
          <w:szCs w:val="22"/>
        </w:rPr>
        <w:t xml:space="preserve"> in a single month, but annual employment growth remains positive and wage data suggest the labour market is cooling rather than cracking.</w:t>
      </w:r>
    </w:p>
    <w:p>
      <w:pPr>
        <w:spacing w:after="180" w:before="0" w:line="276"/>
      </w:pPr>
      <w:r>
        <w:rPr>
          <w:rFonts w:ascii="Calibri" w:cs="Calibri" w:eastAsia="Calibri" w:hAnsi="Calibri"/>
          <w:color w:val="1E293B"/>
          <w:sz w:val="22"/>
          <w:szCs w:val="22"/>
        </w:rPr>
        <w:t xml:space="preserve">Threading across all three markets is a single macro shift: Canada's population growth has collapsed from a peak of </w:t>
      </w:r>
      <w:r>
        <w:rPr>
          <w:rFonts w:ascii="Calibri" w:cs="Calibri" w:eastAsia="Calibri" w:hAnsi="Calibri"/>
          <w:b/>
          <w:bCs/>
          <w:color w:val="1E293B"/>
          <w:sz w:val="22"/>
          <w:szCs w:val="22"/>
        </w:rPr>
        <w:t xml:space="preserve">2.8%</w:t>
      </w:r>
      <w:r>
        <w:rPr>
          <w:rFonts w:ascii="Calibri" w:cs="Calibri" w:eastAsia="Calibri" w:hAnsi="Calibri"/>
          <w:color w:val="1E293B"/>
          <w:sz w:val="22"/>
          <w:szCs w:val="22"/>
        </w:rPr>
        <w:t xml:space="preserve"> in 2023–24 to an estimated </w:t>
      </w:r>
      <w:r>
        <w:rPr>
          <w:rFonts w:ascii="Calibri" w:cs="Calibri" w:eastAsia="Calibri" w:hAnsi="Calibri"/>
          <w:b/>
          <w:bCs/>
          <w:color w:val="1E293B"/>
          <w:sz w:val="22"/>
          <w:szCs w:val="22"/>
        </w:rPr>
        <w:t xml:space="preserve">0.5%</w:t>
      </w:r>
      <w:r>
        <w:rPr>
          <w:rFonts w:ascii="Calibri" w:cs="Calibri" w:eastAsia="Calibri" w:hAnsi="Calibri"/>
          <w:color w:val="1E293B"/>
          <w:sz w:val="22"/>
          <w:szCs w:val="22"/>
        </w:rPr>
        <w:t xml:space="preserve"> annualised. That demand shock is now working its way through every city's numbers — with uneven and sometimes counterintuitive results.</w:t>
      </w:r>
    </w:p>
    <w:p>
      <w:pPr>
        <w:spacing w:after="60" w:before="180"/>
      </w:pPr>
      <w:r>
        <w:rPr>
          <w:rFonts w:ascii="Calibri" w:cs="Calibri" w:eastAsia="Calibri" w:hAnsi="Calibri"/>
          <w:b/>
          <w:bCs/>
          <w:color w:val="14B8A6"/>
          <w:sz w:val="22"/>
          <w:szCs w:val="22"/>
        </w:rPr>
        <w:t xml:space="preserve">Three data releases that will sharpen the picture:</w:t>
      </w:r>
    </w:p>
    <w:p>
      <w:pPr>
        <w:spacing w:after="180" w:before="0" w:line="276"/>
      </w:pPr>
      <w:r>
        <w:rPr>
          <w:rFonts w:ascii="Calibri" w:cs="Calibri" w:eastAsia="Calibri" w:hAnsi="Calibri"/>
          <w:b/>
          <w:bCs/>
          <w:color w:val="1E293B"/>
          <w:sz w:val="22"/>
          <w:szCs w:val="22"/>
        </w:rPr>
        <w:t xml:space="preserve">October 9 — </w:t>
      </w:r>
      <w:r>
        <w:rPr>
          <w:rFonts w:ascii="Calibri" w:cs="Calibri" w:eastAsia="Calibri" w:hAnsi="Calibri"/>
          <w:color w:val="1E293B"/>
          <w:sz w:val="22"/>
          <w:szCs w:val="22"/>
        </w:rPr>
        <w:t xml:space="preserve">September Labour Force Survey (will the August jobs loss reverse, or deepen?)</w:t>
      </w:r>
    </w:p>
    <w:p>
      <w:pPr>
        <w:spacing w:after="180" w:before="0" w:line="276"/>
      </w:pPr>
      <w:r>
        <w:rPr>
          <w:rFonts w:ascii="Calibri" w:cs="Calibri" w:eastAsia="Calibri" w:hAnsi="Calibri"/>
          <w:b/>
          <w:bCs/>
          <w:color w:val="1E293B"/>
          <w:sz w:val="22"/>
          <w:szCs w:val="22"/>
        </w:rPr>
        <w:t xml:space="preserve">October 16 — </w:t>
      </w:r>
      <w:r>
        <w:rPr>
          <w:rFonts w:ascii="Calibri" w:cs="Calibri" w:eastAsia="Calibri" w:hAnsi="Calibri"/>
          <w:color w:val="1E293B"/>
          <w:sz w:val="22"/>
          <w:szCs w:val="22"/>
        </w:rPr>
        <w:t xml:space="preserve">CREA September housing data (first hard read on fall market momentum)</w:t>
      </w:r>
    </w:p>
    <w:p>
      <w:pPr>
        <w:spacing w:after="180" w:before="0" w:line="276"/>
      </w:pPr>
      <w:r>
        <w:rPr>
          <w:rFonts w:ascii="Calibri" w:cs="Calibri" w:eastAsia="Calibri" w:hAnsi="Calibri"/>
          <w:b/>
          <w:bCs/>
          <w:color w:val="1E293B"/>
          <w:sz w:val="22"/>
          <w:szCs w:val="22"/>
        </w:rPr>
        <w:t xml:space="preserve">October 28 — </w:t>
      </w:r>
      <w:r>
        <w:rPr>
          <w:rFonts w:ascii="Calibri" w:cs="Calibri" w:eastAsia="Calibri" w:hAnsi="Calibri"/>
          <w:color w:val="1E293B"/>
          <w:sz w:val="22"/>
          <w:szCs w:val="22"/>
        </w:rPr>
        <w:t xml:space="preserve">Bank of Canada rate decision (markets price ~95% probability of a hold; MPR commentary on tariff and inflation outlook will shape Q4 expectations)</w:t>
      </w:r>
    </w:p>
    <w:p>
      <w:pPr>
        <w:pBdr>
          <w:bottom w:val="single" w:color="14B8A6" w:sz="6" w:space="1"/>
        </w:pBdr>
        <w:spacing w:after="240" w:before="240"/>
      </w:pPr>
    </w:p>
    <w:p>
      <w:pPr>
        <w:pStyle w:val="Heading1"/>
        <w:spacing w:after="120" w:before="480"/>
      </w:pPr>
      <w:r>
        <w:rPr>
          <w:rFonts w:ascii="Calibri" w:cs="Calibri" w:eastAsia="Calibri" w:hAnsi="Calibri"/>
          <w:b/>
          <w:bCs/>
          <w:color w:val="1E3A5F"/>
          <w:sz w:val="36"/>
          <w:szCs w:val="36"/>
        </w:rPr>
        <w:t xml:space="preserve">National Overview: Six Holds and a Demand Shock</w:t>
      </w:r>
    </w:p>
    <w:p>
      <w:pPr>
        <w:spacing w:after="120" w:before="0"/>
      </w:pPr>
      <w:r>
        <w:rPr>
          <w:rFonts w:ascii="Calibri" w:cs="Calibri" w:eastAsia="Calibri" w:hAnsi="Calibri"/>
          <w:b/>
          <w:bCs/>
          <w:color w:val="94A3B8"/>
          <w:sz w:val="20"/>
          <w:szCs w:val="20"/>
        </w:rPr>
        <w:t xml:space="preserve">Key indicators at a glance</w:t>
      </w:r>
    </w:p>
    <w:p>
      <w:pPr>
        <w:spacing w:after="60" w:before="60"/>
      </w:pPr>
      <w:r>
        <w:rPr>
          <w:rFonts w:ascii="Calibri" w:cs="Calibri" w:eastAsia="Calibri" w:hAnsi="Calibri"/>
          <w:color w:val="64748B"/>
          <w:sz w:val="20"/>
          <w:szCs w:val="20"/>
        </w:rPr>
        <w:t xml:space="preserve">BoC Overnight Rate  </w:t>
      </w:r>
      <w:r>
        <w:rPr>
          <w:rFonts w:ascii="Calibri" w:cs="Calibri" w:eastAsia="Calibri" w:hAnsi="Calibri"/>
          <w:b/>
          <w:bCs/>
          <w:color w:val="0F172A"/>
          <w:sz w:val="24"/>
          <w:szCs w:val="24"/>
        </w:rPr>
        <w:t xml:space="preserve">2.25%</w:t>
      </w:r>
      <w:r>
        <w:t xml:space="preserve"/>
      </w:r>
      <w:r>
        <w:rPr>
          <w:rFonts w:ascii="Calibri" w:cs="Calibri" w:eastAsia="Calibri" w:hAnsi="Calibri"/>
          <w:color w:val="94A3B8"/>
          <w:sz w:val="18"/>
          <w:szCs w:val="18"/>
        </w:rPr>
        <w:t xml:space="preserve">  · 6th consecutive hold</w:t>
      </w:r>
    </w:p>
    <w:p>
      <w:pPr>
        <w:spacing w:after="60" w:before="60"/>
      </w:pPr>
      <w:r>
        <w:rPr>
          <w:rFonts w:ascii="Calibri" w:cs="Calibri" w:eastAsia="Calibri" w:hAnsi="Calibri"/>
          <w:color w:val="64748B"/>
          <w:sz w:val="20"/>
          <w:szCs w:val="20"/>
        </w:rPr>
        <w:t xml:space="preserve">Headline CPI  </w:t>
      </w:r>
      <w:r>
        <w:rPr>
          <w:rFonts w:ascii="Calibri" w:cs="Calibri" w:eastAsia="Calibri" w:hAnsi="Calibri"/>
          <w:b/>
          <w:bCs/>
          <w:color w:val="0F172A"/>
          <w:sz w:val="24"/>
          <w:szCs w:val="24"/>
        </w:rPr>
        <w:t xml:space="preserve">~3.0%</w:t>
      </w:r>
      <w:r>
        <w:t xml:space="preserve"/>
      </w:r>
      <w:r>
        <w:rPr>
          <w:rFonts w:ascii="Calibri" w:cs="Calibri" w:eastAsia="Calibri" w:hAnsi="Calibri"/>
          <w:color w:val="94A3B8"/>
          <w:sz w:val="18"/>
          <w:szCs w:val="18"/>
        </w:rPr>
        <w:t xml:space="preserve">  · ex-energy: ~2.2%</w:t>
      </w:r>
    </w:p>
    <w:p>
      <w:pPr>
        <w:spacing w:after="60" w:before="60"/>
      </w:pPr>
      <w:r>
        <w:rPr>
          <w:rFonts w:ascii="Calibri" w:cs="Calibri" w:eastAsia="Calibri" w:hAnsi="Calibri"/>
          <w:color w:val="64748B"/>
          <w:sz w:val="20"/>
          <w:szCs w:val="20"/>
        </w:rPr>
        <w:t xml:space="preserve">Population Growth  </w:t>
      </w:r>
      <w:r>
        <w:rPr>
          <w:rFonts w:ascii="Calibri" w:cs="Calibri" w:eastAsia="Calibri" w:hAnsi="Calibri"/>
          <w:b/>
          <w:bCs/>
          <w:color w:val="0F172A"/>
          <w:sz w:val="24"/>
          <w:szCs w:val="24"/>
        </w:rPr>
        <w:t xml:space="preserve">+0.5% YoY</w:t>
      </w:r>
      <w:r>
        <w:t xml:space="preserve"/>
      </w:r>
      <w:r>
        <w:rPr>
          <w:rFonts w:ascii="Calibri" w:cs="Calibri" w:eastAsia="Calibri" w:hAnsi="Calibri"/>
          <w:color w:val="94A3B8"/>
          <w:sz w:val="18"/>
          <w:szCs w:val="18"/>
        </w:rPr>
        <w:t xml:space="preserve">  · Peak was +2.8% in 2023–24</w:t>
      </w:r>
    </w:p>
    <w:p>
      <w:pPr>
        <w:spacing w:after="60" w:before="60"/>
      </w:pPr>
      <w:r>
        <w:rPr>
          <w:rFonts w:ascii="Calibri" w:cs="Calibri" w:eastAsia="Calibri" w:hAnsi="Calibri"/>
          <w:color w:val="64748B"/>
          <w:sz w:val="20"/>
          <w:szCs w:val="20"/>
        </w:rPr>
        <w:t xml:space="preserve">Counter-tariffs in effect  </w:t>
      </w:r>
      <w:r>
        <w:rPr>
          <w:rFonts w:ascii="Calibri" w:cs="Calibri" w:eastAsia="Calibri" w:hAnsi="Calibri"/>
          <w:b/>
          <w:bCs/>
          <w:color w:val="0F172A"/>
          <w:sz w:val="24"/>
          <w:szCs w:val="24"/>
        </w:rPr>
        <w:t xml:space="preserve">CA$27.6B</w:t>
      </w:r>
      <w:r>
        <w:t xml:space="preserve"/>
      </w:r>
      <w:r>
        <w:rPr>
          <w:rFonts w:ascii="Calibri" w:cs="Calibri" w:eastAsia="Calibri" w:hAnsi="Calibri"/>
          <w:color w:val="94A3B8"/>
          <w:sz w:val="18"/>
          <w:szCs w:val="18"/>
        </w:rPr>
        <w:t xml:space="preserve">  · Effective September 8, 2026</w:t>
      </w:r>
    </w:p>
    <w:p>
      <w:pPr>
        <w:spacing w:after="200" w:before="0" w:line="276"/>
      </w:pPr>
      <w:r>
        <w:rPr>
          <w:rFonts w:ascii="Calibri" w:cs="Calibri" w:eastAsia="Calibri" w:hAnsi="Calibri"/>
          <w:color w:val="1E293B"/>
          <w:sz w:val="22"/>
          <w:szCs w:val="22"/>
        </w:rPr>
        <w:t xml:space="preserve">The Bank of Canada's decision to hold at </w:t>
      </w:r>
      <w:r>
        <w:rPr>
          <w:rFonts w:ascii="Calibri" w:cs="Calibri" w:eastAsia="Calibri" w:hAnsi="Calibri"/>
          <w:b/>
          <w:bCs/>
          <w:color w:val="1E293B"/>
          <w:sz w:val="22"/>
          <w:szCs w:val="22"/>
        </w:rPr>
        <w:t xml:space="preserve">2.25%</w:t>
      </w:r>
      <w:r>
        <w:rPr>
          <w:rFonts w:ascii="Calibri" w:cs="Calibri" w:eastAsia="Calibri" w:hAnsi="Calibri"/>
          <w:color w:val="1E293B"/>
          <w:sz w:val="22"/>
          <w:szCs w:val="22"/>
        </w:rPr>
        <w:t xml:space="preserve"> was unanimous in tone — the BoC's own statement acknowledged upside inflation risks from elevated oil prices and the trade war with the United States, while simultaneously noting "demand for labour remains subdued and indicators point to continued excess supply." That combination — inflationary pressure from energy and tariffs, slack from demand weakness — is the defining tension of the current moment, and it makes the October 28 decision genuinely consequential.</w:t>
      </w:r>
    </w:p>
    <w:p>
      <w:pPr>
        <w:spacing w:after="200" w:before="0" w:line="276"/>
      </w:pPr>
      <w:r>
        <w:rPr>
          <w:rFonts w:ascii="Calibri" w:cs="Calibri" w:eastAsia="Calibri" w:hAnsi="Calibri"/>
          <w:color w:val="1E293B"/>
          <w:sz w:val="22"/>
          <w:szCs w:val="22"/>
        </w:rPr>
        <w:t xml:space="preserve">Headline CPI hovered around </w:t>
      </w:r>
      <w:r>
        <w:rPr>
          <w:rFonts w:ascii="Calibri" w:cs="Calibri" w:eastAsia="Calibri" w:hAnsi="Calibri"/>
          <w:b/>
          <w:bCs/>
          <w:color w:val="1E293B"/>
          <w:sz w:val="22"/>
          <w:szCs w:val="22"/>
        </w:rPr>
        <w:t xml:space="preserve">3.0%</w:t>
      </w:r>
      <w:r>
        <w:rPr>
          <w:rFonts w:ascii="Calibri" w:cs="Calibri" w:eastAsia="Calibri" w:hAnsi="Calibri"/>
          <w:color w:val="1E293B"/>
          <w:sz w:val="22"/>
          <w:szCs w:val="22"/>
        </w:rPr>
        <w:t xml:space="preserve"> through August, driven primarily by gasoline prices; exclude energy and inflation sits at a much more comfortable 2.2%. The risk that Canada's own retaliatory tariffs — </w:t>
      </w:r>
      <w:r>
        <w:rPr>
          <w:rFonts w:ascii="Calibri" w:cs="Calibri" w:eastAsia="Calibri" w:hAnsi="Calibri"/>
          <w:b/>
          <w:bCs/>
          <w:color w:val="1E293B"/>
          <w:sz w:val="22"/>
          <w:szCs w:val="22"/>
        </w:rPr>
        <w:t xml:space="preserve">CA$27.6 billion</w:t>
      </w:r>
      <w:r>
        <w:rPr>
          <w:rFonts w:ascii="Calibri" w:cs="Calibri" w:eastAsia="Calibri" w:hAnsi="Calibri"/>
          <w:color w:val="1E293B"/>
          <w:sz w:val="22"/>
          <w:szCs w:val="22"/>
        </w:rPr>
        <w:t xml:space="preserve"> in counter-measures effective September 8, covering US steel, dairy, appliances, electronics and agricultural equipment — push consumer prices meaningfully higher has not yet shown up in the data.</w:t>
      </w:r>
    </w:p>
    <w:p>
      <w:pPr>
        <w:spacing w:after="180" w:before="0" w:line="276"/>
      </w:pPr>
      <w:r>
        <w:rPr>
          <w:rFonts w:ascii="Calibri" w:cs="Calibri" w:eastAsia="Calibri" w:hAnsi="Calibri"/>
          <w:color w:val="1E293B"/>
          <w:sz w:val="22"/>
          <w:szCs w:val="22"/>
        </w:rPr>
        <w:t xml:space="preserve">The deeper structural change is demographic. Canada's population grew by just </w:t>
      </w:r>
      <w:r>
        <w:rPr>
          <w:rFonts w:ascii="Calibri" w:cs="Calibri" w:eastAsia="Calibri" w:hAnsi="Calibri"/>
          <w:b/>
          <w:bCs/>
          <w:color w:val="1E293B"/>
          <w:sz w:val="22"/>
          <w:szCs w:val="22"/>
        </w:rPr>
        <w:t xml:space="preserve">0.5%</w:t>
      </w:r>
      <w:r>
        <w:rPr>
          <w:rFonts w:ascii="Calibri" w:cs="Calibri" w:eastAsia="Calibri" w:hAnsi="Calibri"/>
          <w:color w:val="1E293B"/>
          <w:sz w:val="22"/>
          <w:szCs w:val="22"/>
        </w:rPr>
        <w:t xml:space="preserve"> between July 2025 and July 2026 — down from a peak above 2.8% — and the first quarter of 2026 recorded an outright population decline. Ottawa's commitment to reduce the temporary resident population below 5% of national headcount has generated sustained net outflows of study and work permit holders that are overwhelming the </w:t>
      </w:r>
      <w:r>
        <w:rPr>
          <w:rFonts w:ascii="Calibri" w:cs="Calibri" w:eastAsia="Calibri" w:hAnsi="Calibri"/>
          <w:b/>
          <w:bCs/>
          <w:color w:val="1E293B"/>
          <w:sz w:val="22"/>
          <w:szCs w:val="22"/>
        </w:rPr>
        <w:t xml:space="preserve">380,000</w:t>
      </w:r>
      <w:r>
        <w:rPr>
          <w:rFonts w:ascii="Calibri" w:cs="Calibri" w:eastAsia="Calibri" w:hAnsi="Calibri"/>
          <w:color w:val="1E293B"/>
          <w:sz w:val="22"/>
          <w:szCs w:val="22"/>
        </w:rPr>
        <w:t xml:space="preserve"> permanent residents Canada plans to admit in 2026.</w:t>
      </w:r>
    </w:p>
    <w:p>
      <w:pPr>
        <w:pBdr>
          <w:bottom w:val="single" w:color="14B8A6" w:sz="6" w:space="1"/>
        </w:pBdr>
        <w:spacing w:after="240" w:before="240"/>
      </w:pPr>
    </w:p>
    <w:p>
      <w:pPr>
        <w:pStyle w:val="Heading1"/>
        <w:spacing w:after="120" w:before="480"/>
      </w:pPr>
      <w:r>
        <w:rPr>
          <w:rFonts w:ascii="Calibri" w:cs="Calibri" w:eastAsia="Calibri" w:hAnsi="Calibri"/>
          <w:b/>
          <w:bCs/>
          <w:color w:val="1E3A5F"/>
          <w:sz w:val="36"/>
          <w:szCs w:val="36"/>
        </w:rPr>
        <w:t xml:space="preserve">Housing Market: Signs of Stabilization</w:t>
      </w:r>
    </w:p>
    <w:p>
      <w:pPr>
        <w:spacing w:after="60" w:before="60"/>
      </w:pPr>
      <w:r>
        <w:rPr>
          <w:rFonts w:ascii="Calibri" w:cs="Calibri" w:eastAsia="Calibri" w:hAnsi="Calibri"/>
          <w:color w:val="64748B"/>
          <w:sz w:val="20"/>
          <w:szCs w:val="20"/>
        </w:rPr>
        <w:t xml:space="preserve">National MLS HPI  </w:t>
      </w:r>
      <w:r>
        <w:rPr>
          <w:rFonts w:ascii="Calibri" w:cs="Calibri" w:eastAsia="Calibri" w:hAnsi="Calibri"/>
          <w:b/>
          <w:bCs/>
          <w:color w:val="0F172A"/>
          <w:sz w:val="24"/>
          <w:szCs w:val="24"/>
        </w:rPr>
        <w:t xml:space="preserve">-3.0% YoY</w:t>
      </w:r>
      <w:r>
        <w:t xml:space="preserve"/>
      </w:r>
      <w:r>
        <w:rPr>
          <w:rFonts w:ascii="Calibri" w:cs="Calibri" w:eastAsia="Calibri" w:hAnsi="Calibri"/>
          <w:color w:val="94A3B8"/>
          <w:sz w:val="18"/>
          <w:szCs w:val="18"/>
        </w:rPr>
        <w:t xml:space="preserve">  · Smallest decline since Oct 2025 — CREA, Aug 2026</w:t>
      </w:r>
    </w:p>
    <w:p>
      <w:pPr>
        <w:spacing w:after="60" w:before="60"/>
      </w:pPr>
      <w:r>
        <w:rPr>
          <w:rFonts w:ascii="Calibri" w:cs="Calibri" w:eastAsia="Calibri" w:hAnsi="Calibri"/>
          <w:color w:val="64748B"/>
          <w:sz w:val="20"/>
          <w:szCs w:val="20"/>
        </w:rPr>
        <w:t xml:space="preserve">National Avg Sale Price  </w:t>
      </w:r>
      <w:r>
        <w:rPr>
          <w:rFonts w:ascii="Calibri" w:cs="Calibri" w:eastAsia="Calibri" w:hAnsi="Calibri"/>
          <w:b/>
          <w:bCs/>
          <w:color w:val="0F172A"/>
          <w:sz w:val="24"/>
          <w:szCs w:val="24"/>
        </w:rPr>
        <w:t xml:space="preserve">$668,219</w:t>
      </w:r>
      <w:r>
        <w:rPr>
          <w:rFonts w:ascii="Calibri" w:cs="Calibri" w:eastAsia="Calibri" w:hAnsi="Calibri"/>
          <w:color w:val="16A34A"/>
          <w:sz w:val="20"/>
          <w:szCs w:val="20"/>
        </w:rPr>
        <w:t xml:space="preserve">  +0.6% YoY</w:t>
      </w:r>
      <w:r>
        <w:t xml:space="preserve"/>
      </w:r>
    </w:p>
    <w:p>
      <w:pPr>
        <w:spacing w:after="60" w:before="60"/>
      </w:pPr>
      <w:r>
        <w:rPr>
          <w:rFonts w:ascii="Calibri" w:cs="Calibri" w:eastAsia="Calibri" w:hAnsi="Calibri"/>
          <w:color w:val="64748B"/>
          <w:sz w:val="20"/>
          <w:szCs w:val="20"/>
        </w:rPr>
        <w:t xml:space="preserve">Sales-to-Listings Ratio  </w:t>
      </w:r>
      <w:r>
        <w:rPr>
          <w:rFonts w:ascii="Calibri" w:cs="Calibri" w:eastAsia="Calibri" w:hAnsi="Calibri"/>
          <w:b/>
          <w:bCs/>
          <w:color w:val="0F172A"/>
          <w:sz w:val="24"/>
          <w:szCs w:val="24"/>
        </w:rPr>
        <w:t xml:space="preserve">49.1%</w:t>
      </w:r>
      <w:r>
        <w:t xml:space="preserve"/>
      </w:r>
      <w:r>
        <w:rPr>
          <w:rFonts w:ascii="Calibri" w:cs="Calibri" w:eastAsia="Calibri" w:hAnsi="Calibri"/>
          <w:color w:val="94A3B8"/>
          <w:sz w:val="18"/>
          <w:szCs w:val="18"/>
        </w:rPr>
        <w:t xml:space="preserve">  · 4.8 months inventory · balanced</w:t>
      </w:r>
    </w:p>
    <w:p>
      <w:pPr>
        <w:spacing w:after="60" w:before="60"/>
      </w:pPr>
      <w:r>
        <w:rPr>
          <w:rFonts w:ascii="Calibri" w:cs="Calibri" w:eastAsia="Calibri" w:hAnsi="Calibri"/>
          <w:color w:val="64748B"/>
          <w:sz w:val="20"/>
          <w:szCs w:val="20"/>
        </w:rPr>
        <w:t xml:space="preserve">RBC Affordability  </w:t>
      </w:r>
      <w:r>
        <w:rPr>
          <w:rFonts w:ascii="Calibri" w:cs="Calibri" w:eastAsia="Calibri" w:hAnsi="Calibri"/>
          <w:b/>
          <w:bCs/>
          <w:color w:val="0F172A"/>
          <w:sz w:val="24"/>
          <w:szCs w:val="24"/>
        </w:rPr>
        <w:t xml:space="preserve">52.8% of income</w:t>
      </w:r>
      <w:r>
        <w:t xml:space="preserve"/>
      </w:r>
      <w:r>
        <w:rPr>
          <w:rFonts w:ascii="Calibri" w:cs="Calibri" w:eastAsia="Calibri" w:hAnsi="Calibri"/>
          <w:color w:val="94A3B8"/>
          <w:sz w:val="18"/>
          <w:szCs w:val="18"/>
        </w:rPr>
        <w:t xml:space="preserve">  · Q2 2026 — national aggregate</w:t>
      </w:r>
    </w:p>
    <w:p>
      <w:pPr>
        <w:spacing w:after="60" w:before="60"/>
      </w:pPr>
      <w:r>
        <w:rPr>
          <w:rFonts w:ascii="Calibri" w:cs="Calibri" w:eastAsia="Calibri" w:hAnsi="Calibri"/>
          <w:color w:val="64748B"/>
          <w:sz w:val="20"/>
          <w:szCs w:val="20"/>
        </w:rPr>
        <w:t xml:space="preserve">5-yr Fixed Rate  </w:t>
      </w:r>
      <w:r>
        <w:rPr>
          <w:rFonts w:ascii="Calibri" w:cs="Calibri" w:eastAsia="Calibri" w:hAnsi="Calibri"/>
          <w:b/>
          <w:bCs/>
          <w:color w:val="0F172A"/>
          <w:sz w:val="24"/>
          <w:szCs w:val="24"/>
        </w:rPr>
        <w:t xml:space="preserve">3.99–4.09%</w:t>
      </w:r>
      <w:r>
        <w:t xml:space="preserve"/>
      </w:r>
      <w:r>
        <w:rPr>
          <w:rFonts w:ascii="Calibri" w:cs="Calibri" w:eastAsia="Calibri" w:hAnsi="Calibri"/>
          <w:color w:val="94A3B8"/>
          <w:sz w:val="18"/>
          <w:szCs w:val="18"/>
        </w:rPr>
        <w:t xml:space="preserve">  · Best insured as of late Sept 2026</w:t>
      </w:r>
    </w:p>
    <w:p>
      <w:pPr>
        <w:spacing w:after="0" w:before="240"/>
      </w:pPr>
    </w:p>
    <w:p>
      <w:pPr>
        <w:spacing w:after="200" w:before="0" w:line="276"/>
      </w:pPr>
      <w:r>
        <w:rPr>
          <w:rFonts w:ascii="Calibri" w:cs="Calibri" w:eastAsia="Calibri" w:hAnsi="Calibri"/>
          <w:color w:val="1E293B"/>
          <w:sz w:val="22"/>
          <w:szCs w:val="22"/>
        </w:rPr>
        <w:t xml:space="preserve">National home sales were </w:t>
      </w:r>
      <w:r>
        <w:rPr>
          <w:rFonts w:ascii="Calibri" w:cs="Calibri" w:eastAsia="Calibri" w:hAnsi="Calibri"/>
          <w:b/>
          <w:bCs/>
          <w:color w:val="1E293B"/>
          <w:sz w:val="22"/>
          <w:szCs w:val="22"/>
        </w:rPr>
        <w:t xml:space="preserve">6.9% below August 2025</w:t>
      </w:r>
      <w:r>
        <w:rPr>
          <w:rFonts w:ascii="Calibri" w:cs="Calibri" w:eastAsia="Calibri" w:hAnsi="Calibri"/>
          <w:color w:val="1E293B"/>
          <w:sz w:val="22"/>
          <w:szCs w:val="22"/>
        </w:rPr>
        <w:t xml:space="preserve"> levels on an unadjusted basis, and seasonally adjusted activity has been essentially flat since May. The good news for sellers: the National Composite MLS HPI declined just </w:t>
      </w:r>
      <w:r>
        <w:rPr>
          <w:rFonts w:ascii="Calibri" w:cs="Calibri" w:eastAsia="Calibri" w:hAnsi="Calibri"/>
          <w:b/>
          <w:bCs/>
          <w:color w:val="1E293B"/>
          <w:sz w:val="22"/>
          <w:szCs w:val="22"/>
        </w:rPr>
        <w:t xml:space="preserve">3.0% year-over-year</w:t>
      </w:r>
      <w:r>
        <w:rPr>
          <w:rFonts w:ascii="Calibri" w:cs="Calibri" w:eastAsia="Calibri" w:hAnsi="Calibri"/>
          <w:color w:val="1E293B"/>
          <w:sz w:val="22"/>
          <w:szCs w:val="22"/>
        </w:rPr>
        <w:t xml:space="preserve"> in August — the smallest annual decline since October 2025 — suggesting the pace of price decline is moderating. This is not a collapsing market.</w:t>
      </w:r>
    </w:p>
    <w:p>
      <w:pPr>
        <w:spacing w:after="200" w:before="0" w:line="276"/>
      </w:pPr>
      <w:r>
        <w:rPr>
          <w:rFonts w:ascii="Calibri" w:cs="Calibri" w:eastAsia="Calibri" w:hAnsi="Calibri"/>
          <w:color w:val="1E293B"/>
          <w:sz w:val="22"/>
          <w:szCs w:val="22"/>
        </w:rPr>
        <w:t xml:space="preserve">But “not collapsing” is not the same as “affordable.” RBC's national affordability measure stood at </w:t>
      </w:r>
      <w:r>
        <w:rPr>
          <w:rFonts w:ascii="Calibri" w:cs="Calibri" w:eastAsia="Calibri" w:hAnsi="Calibri"/>
          <w:b/>
          <w:bCs/>
          <w:color w:val="1E293B"/>
          <w:sz w:val="22"/>
          <w:szCs w:val="22"/>
        </w:rPr>
        <w:t xml:space="preserve">52.8%</w:t>
      </w:r>
      <w:r>
        <w:rPr>
          <w:rFonts w:ascii="Calibri" w:cs="Calibri" w:eastAsia="Calibri" w:hAnsi="Calibri"/>
          <w:color w:val="1E293B"/>
          <w:sz w:val="22"/>
          <w:szCs w:val="22"/>
        </w:rPr>
        <w:t xml:space="preserve"> of household income in Q2 2026 — an improvement of just 0.4 percentage points from the prior quarter and the smallest quarterly gain in nearly a year. The peak was 63.5% in 2023; reaching the long-run normal of the low-40s still requires years of price declines, income growth, or lower rates. The best available 5-year fixed insured mortgage rate sat at </w:t>
      </w:r>
      <w:r>
        <w:rPr>
          <w:rFonts w:ascii="Calibri" w:cs="Calibri" w:eastAsia="Calibri" w:hAnsi="Calibri"/>
          <w:b/>
          <w:bCs/>
          <w:color w:val="1E293B"/>
          <w:sz w:val="22"/>
          <w:szCs w:val="22"/>
        </w:rPr>
        <w:t xml:space="preserve">3.99–4.09%</w:t>
      </w:r>
      <w:r>
        <w:rPr>
          <w:rFonts w:ascii="Calibri" w:cs="Calibri" w:eastAsia="Calibri" w:hAnsi="Calibri"/>
          <w:color w:val="1E293B"/>
          <w:sz w:val="22"/>
          <w:szCs w:val="22"/>
        </w:rPr>
        <w:t xml:space="preserve"> — a major improvement from 2023's 5%+ peak — but CREA's chief economist flagged that rates have already moved higher on rising bond yields and variable rate hikes are now priced in by markets.</w:t>
      </w:r>
    </w:p>
    <w:p>
      <w:pPr>
        <w:spacing w:after="180" w:before="0" w:line="276"/>
      </w:pPr>
      <w:r>
        <w:rPr>
          <w:rFonts w:ascii="Calibri" w:cs="Calibri" w:eastAsia="Calibri" w:hAnsi="Calibri"/>
          <w:color w:val="1E293B"/>
          <w:sz w:val="22"/>
          <w:szCs w:val="22"/>
        </w:rPr>
        <w:t xml:space="preserve">One supply-side development worth watching: </w:t>
      </w:r>
      <w:r>
        <w:rPr>
          <w:rFonts w:ascii="Calibri" w:cs="Calibri" w:eastAsia="Calibri" w:hAnsi="Calibri"/>
          <w:b/>
          <w:bCs/>
          <w:color w:val="1E293B"/>
          <w:sz w:val="22"/>
          <w:szCs w:val="22"/>
        </w:rPr>
        <w:t xml:space="preserve">purpose-built rental apartment starts surged 82%</w:t>
      </w:r>
      <w:r>
        <w:rPr>
          <w:rFonts w:ascii="Calibri" w:cs="Calibri" w:eastAsia="Calibri" w:hAnsi="Calibri"/>
          <w:color w:val="1E293B"/>
          <w:sz w:val="22"/>
          <w:szCs w:val="22"/>
        </w:rPr>
        <w:t xml:space="preserve"> in H1 2026 versus H1 2025, surpassing condo apartment starts for the first time in decades. That pipeline converts into units 18–36 months from now. Population-adjusted starts in H1 2026 hit their lowest level since 1996, meaning the housing supply gap will widen again even as current near-term surplus works through.</w:t>
      </w:r>
    </w:p>
    <w:p>
      <w:pPr>
        <w:spacing w:after="120" w:before="240"/>
      </w:pPr>
      <w:r>
        <w:rPr>
          <w:rFonts w:ascii="Calibri" w:cs="Calibri" w:eastAsia="Calibri" w:hAnsi="Calibri"/>
          <w:b/>
          <w:bCs/>
          <w:color w:val="1E3A5F"/>
          <w:sz w:val="22"/>
          <w:szCs w:val="22"/>
        </w:rPr>
        <w:t xml:space="preserve">City Benchmark Prices — August 2026</w:t>
      </w:r>
    </w:p>
    <w:p>
      <w:pPr>
        <w:spacing w:after="120" w:before="0"/>
      </w:pPr>
      <w:r>
        <w:rPr>
          <w:rFonts w:ascii="Calibri" w:cs="Calibri" w:eastAsia="Calibri" w:hAnsi="Calibri"/>
          <w:i/>
          <w:iCs/>
          <w:color w:val="64748B"/>
          <w:sz w:val="20"/>
          <w:szCs w:val="20"/>
        </w:rPr>
        <w:t xml:space="preserve">* Nova Scotia asking rent (apartments/condos) — RBC affordability figure for Halifax metro</w:t>
      </w:r>
    </w:p>
    <w:tbl>
      <w:tblPr>
        <w:tblW w:type="dxa" w:w="1092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gridCol w:w="1560"/>
      </w:tblGrid>
      <w:tr>
        <w:trPr>
          <w:tblHeader/>
        </w:trPr>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City</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Asking Rent</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YoY</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Benchmark Price</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RBC Afford.</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Empl. YoY</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Vancouver</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$2,704</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DC2626"/>
                <w:sz w:val="20"/>
                <w:szCs w:val="20"/>
              </w:rPr>
              <w:t xml:space="preserve">-4.1%</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$1,081,900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83.9%</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DC2626"/>
                <w:sz w:val="20"/>
                <w:szCs w:val="20"/>
              </w:rPr>
              <w:t xml:space="preserve">-0.8%</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Toronto</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$2,570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DC2626"/>
                <w:sz w:val="20"/>
                <w:szCs w:val="20"/>
              </w:rPr>
              <w:t xml:space="preserve">-1.4%</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$925,900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64.1%</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6A34A"/>
                <w:sz w:val="20"/>
                <w:szCs w:val="20"/>
              </w:rPr>
              <w:t xml:space="preserve">+1.4%</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Ottawa</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$2,168</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DC2626"/>
                <w:sz w:val="20"/>
                <w:szCs w:val="20"/>
              </w:rPr>
              <w:t xml:space="preserve">-1.6%</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~$617,700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43.8%</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stable</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Montreal</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$1,955</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DC2626"/>
                <w:sz w:val="20"/>
                <w:szCs w:val="20"/>
              </w:rPr>
              <w:t xml:space="preserve">-1.1%</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~$689,800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52.3%</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DC2626"/>
                <w:sz w:val="20"/>
                <w:szCs w:val="20"/>
              </w:rPr>
              <w:t xml:space="preserve">-1.2%</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Calgary</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$1,825</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DC2626"/>
                <w:sz w:val="20"/>
                <w:szCs w:val="20"/>
              </w:rPr>
              <w:t xml:space="preserve">-4.5%</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$569,800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41.3%</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6A34A"/>
                <w:sz w:val="20"/>
                <w:szCs w:val="20"/>
              </w:rPr>
              <w:t xml:space="preserve">+5.7%</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Edmonton</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$1,520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DC2626"/>
                <w:sz w:val="20"/>
                <w:szCs w:val="20"/>
              </w:rPr>
              <w:t xml:space="preserve">-4.1%</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$426,900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36.8%</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n/a</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Halifax</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$2,356*</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6A34A"/>
                <w:sz w:val="20"/>
                <w:szCs w:val="20"/>
              </w:rPr>
              <w:t xml:space="preserve">+3.1%</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n/a</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42.1%</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stable</w:t>
            </w:r>
          </w:p>
        </w:tc>
      </w:tr>
    </w:tbl>
    <w:p>
      <w:pPr>
        <w:spacing w:after="0" w:before="60"/>
      </w:pPr>
      <w:r>
        <w:rPr>
          <w:rFonts w:ascii="Calibri" w:cs="Calibri" w:eastAsia="Calibri" w:hAnsi="Calibri"/>
          <w:i/>
          <w:iCs/>
          <w:color w:val="64748B"/>
          <w:sz w:val="20"/>
          <w:szCs w:val="20"/>
        </w:rPr>
        <w:t xml:space="preserve">Source: CREA August 2026, Rentals.ca/Urbanation September 2026, RBC Economics Q2 2026, Statistics Canada LFS August 2026.</w:t>
      </w:r>
    </w:p>
    <w:p>
      <w:pPr>
        <w:pBdr>
          <w:bottom w:val="single" w:color="14B8A6" w:sz="6" w:space="1"/>
        </w:pBdr>
        <w:spacing w:after="240" w:before="240"/>
      </w:pPr>
    </w:p>
    <w:p>
      <w:pPr>
        <w:pStyle w:val="Heading1"/>
        <w:spacing w:after="120" w:before="480"/>
      </w:pPr>
      <w:r>
        <w:rPr>
          <w:rFonts w:ascii="Calibri" w:cs="Calibri" w:eastAsia="Calibri" w:hAnsi="Calibri"/>
          <w:b/>
          <w:bCs/>
          <w:color w:val="1E3A5F"/>
          <w:sz w:val="36"/>
          <w:szCs w:val="36"/>
        </w:rPr>
        <w:t xml:space="preserve">Rental Market: 23 Months of Declines, but a Two-Speed Story</w:t>
      </w:r>
    </w:p>
    <w:p>
      <w:pPr>
        <w:spacing w:after="60" w:before="60"/>
      </w:pPr>
      <w:r>
        <w:rPr>
          <w:rFonts w:ascii="Calibri" w:cs="Calibri" w:eastAsia="Calibri" w:hAnsi="Calibri"/>
          <w:color w:val="64748B"/>
          <w:sz w:val="20"/>
          <w:szCs w:val="20"/>
        </w:rPr>
        <w:t xml:space="preserve">National Asking Rent  </w:t>
      </w:r>
      <w:r>
        <w:rPr>
          <w:rFonts w:ascii="Calibri" w:cs="Calibri" w:eastAsia="Calibri" w:hAnsi="Calibri"/>
          <w:b/>
          <w:bCs/>
          <w:color w:val="0F172A"/>
          <w:sz w:val="24"/>
          <w:szCs w:val="24"/>
        </w:rPr>
        <w:t xml:space="preserve">$2,035</w:t>
      </w:r>
      <w:r>
        <w:rPr>
          <w:rFonts w:ascii="Calibri" w:cs="Calibri" w:eastAsia="Calibri" w:hAnsi="Calibri"/>
          <w:color w:val="DC2626"/>
          <w:sz w:val="20"/>
          <w:szCs w:val="20"/>
        </w:rPr>
        <w:t xml:space="preserve">  -4.8% YoY</w:t>
      </w:r>
      <w:r>
        <w:rPr>
          <w:rFonts w:ascii="Calibri" w:cs="Calibri" w:eastAsia="Calibri" w:hAnsi="Calibri"/>
          <w:color w:val="94A3B8"/>
          <w:sz w:val="18"/>
          <w:szCs w:val="18"/>
        </w:rPr>
        <w:t xml:space="preserve">  · Lowest August since 2022 · Rentals.ca</w:t>
      </w:r>
    </w:p>
    <w:p>
      <w:pPr>
        <w:spacing w:after="60" w:before="60"/>
      </w:pPr>
      <w:r>
        <w:rPr>
          <w:rFonts w:ascii="Calibri" w:cs="Calibri" w:eastAsia="Calibri" w:hAnsi="Calibri"/>
          <w:color w:val="64748B"/>
          <w:sz w:val="20"/>
          <w:szCs w:val="20"/>
        </w:rPr>
        <w:t xml:space="preserve">National In-Place Rent  </w:t>
      </w:r>
      <w:r>
        <w:rPr>
          <w:rFonts w:ascii="Calibri" w:cs="Calibri" w:eastAsia="Calibri" w:hAnsi="Calibri"/>
          <w:b/>
          <w:bCs/>
          <w:color w:val="0F172A"/>
          <w:sz w:val="24"/>
          <w:szCs w:val="24"/>
        </w:rPr>
        <w:t xml:space="preserve">$1,774</w:t>
      </w:r>
      <w:r>
        <w:rPr>
          <w:rFonts w:ascii="Calibri" w:cs="Calibri" w:eastAsia="Calibri" w:hAnsi="Calibri"/>
          <w:color w:val="16A34A"/>
          <w:sz w:val="20"/>
          <w:szCs w:val="20"/>
        </w:rPr>
        <w:t xml:space="preserve">  +2.2% YoY</w:t>
      </w:r>
      <w:r>
        <w:rPr>
          <w:rFonts w:ascii="Calibri" w:cs="Calibri" w:eastAsia="Calibri" w:hAnsi="Calibri"/>
          <w:color w:val="94A3B8"/>
          <w:sz w:val="18"/>
          <w:szCs w:val="18"/>
        </w:rPr>
        <w:t xml:space="preserve">  · Yardi Q3 2026</w:t>
      </w:r>
    </w:p>
    <w:p>
      <w:pPr>
        <w:spacing w:after="60" w:before="60"/>
      </w:pPr>
      <w:r>
        <w:rPr>
          <w:rFonts w:ascii="Calibri" w:cs="Calibri" w:eastAsia="Calibri" w:hAnsi="Calibri"/>
          <w:color w:val="64748B"/>
          <w:sz w:val="20"/>
          <w:szCs w:val="20"/>
        </w:rPr>
        <w:t xml:space="preserve">National Vacancy Rate  </w:t>
      </w:r>
      <w:r>
        <w:rPr>
          <w:rFonts w:ascii="Calibri" w:cs="Calibri" w:eastAsia="Calibri" w:hAnsi="Calibri"/>
          <w:b/>
          <w:bCs/>
          <w:color w:val="0F172A"/>
          <w:sz w:val="24"/>
          <w:szCs w:val="24"/>
        </w:rPr>
        <w:t xml:space="preserve">4.7%</w:t>
      </w:r>
      <w:r>
        <w:rPr>
          <w:rFonts w:ascii="Calibri" w:cs="Calibri" w:eastAsia="Calibri" w:hAnsi="Calibri"/>
          <w:color w:val="DC2626"/>
          <w:sz w:val="20"/>
          <w:szCs w:val="20"/>
        </w:rPr>
        <w:t xml:space="preserve">  -40 bps QoQ</w:t>
      </w:r>
      <w:r>
        <w:rPr>
          <w:rFonts w:ascii="Calibri" w:cs="Calibri" w:eastAsia="Calibri" w:hAnsi="Calibri"/>
          <w:color w:val="94A3B8"/>
          <w:sz w:val="18"/>
          <w:szCs w:val="18"/>
        </w:rPr>
        <w:t xml:space="preserve">  · First drop in 9 quarters</w:t>
      </w:r>
    </w:p>
    <w:p>
      <w:pPr>
        <w:spacing w:after="0" w:before="240"/>
      </w:pPr>
    </w:p>
    <w:p>
      <w:pPr>
        <w:spacing w:after="200" w:before="0" w:line="276"/>
      </w:pPr>
      <w:r>
        <w:rPr>
          <w:rFonts w:ascii="Calibri" w:cs="Calibri" w:eastAsia="Calibri" w:hAnsi="Calibri"/>
          <w:color w:val="1E293B"/>
          <w:sz w:val="22"/>
          <w:szCs w:val="22"/>
        </w:rPr>
        <w:t xml:space="preserve">The national average asking rent fell to </w:t>
      </w:r>
      <w:r>
        <w:rPr>
          <w:rFonts w:ascii="Calibri" w:cs="Calibri" w:eastAsia="Calibri" w:hAnsi="Calibri"/>
          <w:b/>
          <w:bCs/>
          <w:color w:val="1E293B"/>
          <w:sz w:val="22"/>
          <w:szCs w:val="22"/>
        </w:rPr>
        <w:t xml:space="preserve">$2,035</w:t>
      </w:r>
      <w:r>
        <w:rPr>
          <w:rFonts w:ascii="Calibri" w:cs="Calibri" w:eastAsia="Calibri" w:hAnsi="Calibri"/>
          <w:color w:val="1E293B"/>
          <w:sz w:val="22"/>
          <w:szCs w:val="22"/>
        </w:rPr>
        <w:t xml:space="preserve"> in August 2026, marking the 23rd consecutive month of annual declines. That string of monthly decreases has created genuine opportunity for renters entering the market today — but it conceals a gap that matters enormously for anyone with a signed lease. The national average </w:t>
      </w:r>
      <w:r>
        <w:rPr>
          <w:rFonts w:ascii="Calibri" w:cs="Calibri" w:eastAsia="Calibri" w:hAnsi="Calibri"/>
          <w:b/>
          <w:bCs/>
          <w:color w:val="1E293B"/>
          <w:sz w:val="22"/>
          <w:szCs w:val="22"/>
        </w:rPr>
        <w:t xml:space="preserve">in-place rent is $1,774, up 2.2% year-over-year</w:t>
      </w:r>
      <w:r>
        <w:rPr>
          <w:rFonts w:ascii="Calibri" w:cs="Calibri" w:eastAsia="Calibri" w:hAnsi="Calibri"/>
          <w:color w:val="1E293B"/>
          <w:sz w:val="22"/>
          <w:szCs w:val="22"/>
        </w:rPr>
        <w:t xml:space="preserve"> — landlords with stable tenants are still nudging renewals upward; vacant units face competitive pressure. That spread represents real negotiating leverage for movers.</w:t>
      </w:r>
    </w:p>
    <w:p>
      <w:pPr>
        <w:spacing w:after="200" w:before="0" w:line="276"/>
      </w:pPr>
      <w:r>
        <w:rPr>
          <w:rFonts w:ascii="Calibri" w:cs="Calibri" w:eastAsia="Calibri" w:hAnsi="Calibri"/>
          <w:color w:val="1E293B"/>
          <w:sz w:val="22"/>
          <w:szCs w:val="22"/>
        </w:rPr>
        <w:t xml:space="preserve">Recent analysis suggests tariff exposure and rental market softness are moving together. Rents in the 10 most tariff-exposed Canadian markets are falling </w:t>
      </w:r>
      <w:r>
        <w:rPr>
          <w:rFonts w:ascii="Calibri" w:cs="Calibri" w:eastAsia="Calibri" w:hAnsi="Calibri"/>
          <w:b/>
          <w:bCs/>
          <w:color w:val="1E293B"/>
          <w:sz w:val="22"/>
          <w:szCs w:val="22"/>
        </w:rPr>
        <w:t xml:space="preserve">nearly four times faster</w:t>
      </w:r>
      <w:r>
        <w:rPr>
          <w:rFonts w:ascii="Calibri" w:cs="Calibri" w:eastAsia="Calibri" w:hAnsi="Calibri"/>
          <w:color w:val="1E293B"/>
          <w:sz w:val="22"/>
          <w:szCs w:val="22"/>
        </w:rPr>
        <w:t xml:space="preserve"> than rents in the least-exposed markets. Structural steel price increases of 7.2% since Q1 2025 and total project cost increases of 8–12% are making new projects economically marginal, meaning the current oversupply will eventually self-correct — but not until planned projects are shelved and the pipeline thins.</w:t>
      </w:r>
    </w:p>
    <w:p>
      <w:pPr>
        <w:spacing w:after="180" w:before="0" w:line="276"/>
      </w:pPr>
      <w:r>
        <w:rPr>
          <w:rFonts w:ascii="Calibri" w:cs="Calibri" w:eastAsia="Calibri" w:hAnsi="Calibri"/>
          <w:color w:val="1E293B"/>
          <w:sz w:val="22"/>
          <w:szCs w:val="22"/>
        </w:rPr>
        <w:t xml:space="preserve">The national vacancy rate fell </w:t>
      </w:r>
      <w:r>
        <w:rPr>
          <w:rFonts w:ascii="Calibri" w:cs="Calibri" w:eastAsia="Calibri" w:hAnsi="Calibri"/>
          <w:b/>
          <w:bCs/>
          <w:color w:val="1E293B"/>
          <w:sz w:val="22"/>
          <w:szCs w:val="22"/>
        </w:rPr>
        <w:t xml:space="preserve">40 basis points to 4.7%</w:t>
      </w:r>
      <w:r>
        <w:rPr>
          <w:rFonts w:ascii="Calibri" w:cs="Calibri" w:eastAsia="Calibri" w:hAnsi="Calibri"/>
          <w:color w:val="1E293B"/>
          <w:sz w:val="22"/>
          <w:szCs w:val="22"/>
        </w:rPr>
        <w:t xml:space="preserve"> in Q3 2026, breaking a nine-quarter streak of increases — but that improvement is distributed unequally. </w:t>
      </w:r>
      <w:r>
        <w:rPr>
          <w:rFonts w:ascii="Calibri" w:cs="Calibri" w:eastAsia="Calibri" w:hAnsi="Calibri"/>
          <w:b/>
          <w:bCs/>
          <w:color w:val="1E293B"/>
          <w:sz w:val="22"/>
          <w:szCs w:val="22"/>
        </w:rPr>
        <w:t xml:space="preserve">Halifax sits at 2.4% vacancy</w:t>
      </w:r>
      <w:r>
        <w:rPr>
          <w:rFonts w:ascii="Calibri" w:cs="Calibri" w:eastAsia="Calibri" w:hAnsi="Calibri"/>
          <w:color w:val="1E293B"/>
          <w:sz w:val="22"/>
          <w:szCs w:val="22"/>
        </w:rPr>
        <w:t xml:space="preserve">, the tightest market in the country, with in-place rent growth of +5.7% year-over-year. </w:t>
      </w:r>
      <w:r>
        <w:rPr>
          <w:rFonts w:ascii="Calibri" w:cs="Calibri" w:eastAsia="Calibri" w:hAnsi="Calibri"/>
          <w:b/>
          <w:bCs/>
          <w:color w:val="1E293B"/>
          <w:sz w:val="22"/>
          <w:szCs w:val="22"/>
        </w:rPr>
        <w:t xml:space="preserve">Calgary is at 6.8% vacancy</w:t>
      </w:r>
      <w:r>
        <w:rPr>
          <w:rFonts w:ascii="Calibri" w:cs="Calibri" w:eastAsia="Calibri" w:hAnsi="Calibri"/>
          <w:color w:val="1E293B"/>
          <w:sz w:val="22"/>
          <w:szCs w:val="22"/>
        </w:rPr>
        <w:t xml:space="preserve">, the loosest, and is the only major CMA where in-place rents are actually </w:t>
      </w:r>
      <w:r>
        <w:rPr>
          <w:rFonts w:ascii="Calibri" w:cs="Calibri" w:eastAsia="Calibri" w:hAnsi="Calibri"/>
          <w:b/>
          <w:bCs/>
          <w:color w:val="1E293B"/>
          <w:sz w:val="22"/>
          <w:szCs w:val="22"/>
        </w:rPr>
        <w:t xml:space="preserve">negative</w:t>
      </w:r>
      <w:r>
        <w:rPr>
          <w:rFonts w:ascii="Calibri" w:cs="Calibri" w:eastAsia="Calibri" w:hAnsi="Calibri"/>
          <w:color w:val="1E293B"/>
          <w:sz w:val="22"/>
          <w:szCs w:val="22"/>
        </w:rPr>
        <w:t xml:space="preserve"> (-1.9% year-over-year). For a renter in Calgary, that means even existing tenants are effectively receiving rent reductions — a qualitatively different market condition than Toronto or Vancouver.</w:t>
      </w:r>
    </w:p>
    <w:p>
      <w:pPr>
        <w:pBdr>
          <w:bottom w:val="single" w:color="14B8A6" w:sz="6" w:space="1"/>
        </w:pBdr>
        <w:spacing w:after="240" w:before="240"/>
      </w:pPr>
    </w:p>
    <w:p>
      <w:pPr>
        <w:pStyle w:val="Heading1"/>
        <w:spacing w:after="120" w:before="480"/>
      </w:pPr>
      <w:r>
        <w:rPr>
          <w:rFonts w:ascii="Calibri" w:cs="Calibri" w:eastAsia="Calibri" w:hAnsi="Calibri"/>
          <w:b/>
          <w:bCs/>
          <w:color w:val="1E3A5F"/>
          <w:sz w:val="36"/>
          <w:szCs w:val="36"/>
        </w:rPr>
        <w:t xml:space="preserve">Employment Market: A Soft Month, Not a Soft Trend</w:t>
      </w:r>
    </w:p>
    <w:p>
      <w:pPr>
        <w:spacing w:after="60" w:before="60"/>
      </w:pPr>
      <w:r>
        <w:rPr>
          <w:rFonts w:ascii="Calibri" w:cs="Calibri" w:eastAsia="Calibri" w:hAnsi="Calibri"/>
          <w:color w:val="64748B"/>
          <w:sz w:val="20"/>
          <w:szCs w:val="20"/>
        </w:rPr>
        <w:t xml:space="preserve">August Job Change  </w:t>
      </w:r>
      <w:r>
        <w:rPr>
          <w:rFonts w:ascii="Calibri" w:cs="Calibri" w:eastAsia="Calibri" w:hAnsi="Calibri"/>
          <w:b/>
          <w:bCs/>
          <w:color w:val="0F172A"/>
          <w:sz w:val="24"/>
          <w:szCs w:val="24"/>
        </w:rPr>
        <w:t xml:space="preserve">-42,000</w:t>
      </w:r>
      <w:r>
        <w:t xml:space="preserve"/>
      </w:r>
      <w:r>
        <w:rPr>
          <w:rFonts w:ascii="Calibri" w:cs="Calibri" w:eastAsia="Calibri" w:hAnsi="Calibri"/>
          <w:color w:val="94A3B8"/>
          <w:sz w:val="18"/>
          <w:szCs w:val="18"/>
        </w:rPr>
        <w:t xml:space="preserve">  · Statistics Canada LFS, Sep 4 2026</w:t>
      </w:r>
    </w:p>
    <w:p>
      <w:pPr>
        <w:spacing w:after="60" w:before="60"/>
      </w:pPr>
      <w:r>
        <w:rPr>
          <w:rFonts w:ascii="Calibri" w:cs="Calibri" w:eastAsia="Calibri" w:hAnsi="Calibri"/>
          <w:color w:val="64748B"/>
          <w:sz w:val="20"/>
          <w:szCs w:val="20"/>
        </w:rPr>
        <w:t xml:space="preserve">Unemployment Rate  </w:t>
      </w:r>
      <w:r>
        <w:rPr>
          <w:rFonts w:ascii="Calibri" w:cs="Calibri" w:eastAsia="Calibri" w:hAnsi="Calibri"/>
          <w:b/>
          <w:bCs/>
          <w:color w:val="0F172A"/>
          <w:sz w:val="24"/>
          <w:szCs w:val="24"/>
        </w:rPr>
        <w:t xml:space="preserve">6.4%</w:t>
      </w:r>
      <w:r>
        <w:t xml:space="preserve"/>
      </w:r>
      <w:r>
        <w:rPr>
          <w:rFonts w:ascii="Calibri" w:cs="Calibri" w:eastAsia="Calibri" w:hAnsi="Calibri"/>
          <w:color w:val="94A3B8"/>
          <w:sz w:val="18"/>
          <w:szCs w:val="18"/>
        </w:rPr>
        <w:t xml:space="preserve">  · Unchanged month-over-month</w:t>
      </w:r>
    </w:p>
    <w:p>
      <w:pPr>
        <w:spacing w:after="60" w:before="60"/>
      </w:pPr>
      <w:r>
        <w:rPr>
          <w:rFonts w:ascii="Calibri" w:cs="Calibri" w:eastAsia="Calibri" w:hAnsi="Calibri"/>
          <w:color w:val="64748B"/>
          <w:sz w:val="20"/>
          <w:szCs w:val="20"/>
        </w:rPr>
        <w:t xml:space="preserve">Annual Employment  </w:t>
      </w:r>
      <w:r>
        <w:rPr>
          <w:rFonts w:ascii="Calibri" w:cs="Calibri" w:eastAsia="Calibri" w:hAnsi="Calibri"/>
          <w:b/>
          <w:bCs/>
          <w:color w:val="0F172A"/>
          <w:sz w:val="24"/>
          <w:szCs w:val="24"/>
        </w:rPr>
        <w:t xml:space="preserve">+217,000 (+1.0%)</w:t>
      </w:r>
      <w:r>
        <w:rPr>
          <w:rFonts w:ascii="Calibri" w:cs="Calibri" w:eastAsia="Calibri" w:hAnsi="Calibri"/>
          <w:color w:val="DC2626"/>
          <w:sz w:val="20"/>
          <w:szCs w:val="20"/>
        </w:rPr>
        <w:t xml:space="preserve">  YoY</w:t>
      </w:r>
      <w:r>
        <w:t xml:space="preserve"/>
      </w:r>
    </w:p>
    <w:p>
      <w:pPr>
        <w:spacing w:after="60" w:before="60"/>
      </w:pPr>
      <w:r>
        <w:rPr>
          <w:rFonts w:ascii="Calibri" w:cs="Calibri" w:eastAsia="Calibri" w:hAnsi="Calibri"/>
          <w:color w:val="64748B"/>
          <w:sz w:val="20"/>
          <w:szCs w:val="20"/>
        </w:rPr>
        <w:t xml:space="preserve">Wage Growth  </w:t>
      </w:r>
      <w:r>
        <w:rPr>
          <w:rFonts w:ascii="Calibri" w:cs="Calibri" w:eastAsia="Calibri" w:hAnsi="Calibri"/>
          <w:b/>
          <w:bCs/>
          <w:color w:val="0F172A"/>
          <w:sz w:val="24"/>
          <w:szCs w:val="24"/>
        </w:rPr>
        <w:t xml:space="preserve">+2.0% YoY</w:t>
      </w:r>
      <w:r>
        <w:t xml:space="preserve"/>
      </w:r>
      <w:r>
        <w:rPr>
          <w:rFonts w:ascii="Calibri" w:cs="Calibri" w:eastAsia="Calibri" w:hAnsi="Calibri"/>
          <w:color w:val="94A3B8"/>
          <w:sz w:val="18"/>
          <w:szCs w:val="18"/>
        </w:rPr>
        <w:t xml:space="preserve">  · Slowest since November 2017</w:t>
      </w:r>
    </w:p>
    <w:p>
      <w:pPr>
        <w:spacing w:after="0" w:before="240"/>
      </w:pPr>
    </w:p>
    <w:p>
      <w:pPr>
        <w:spacing w:after="200" w:before="0" w:line="276"/>
      </w:pPr>
      <w:r>
        <w:rPr>
          <w:rFonts w:ascii="Calibri" w:cs="Calibri" w:eastAsia="Calibri" w:hAnsi="Calibri"/>
          <w:color w:val="1E293B"/>
          <w:sz w:val="22"/>
          <w:szCs w:val="22"/>
        </w:rPr>
        <w:t xml:space="preserve">August's </w:t>
      </w:r>
      <w:r>
        <w:rPr>
          <w:rFonts w:ascii="Calibri" w:cs="Calibri" w:eastAsia="Calibri" w:hAnsi="Calibri"/>
          <w:b/>
          <w:bCs/>
          <w:color w:val="1E293B"/>
          <w:sz w:val="22"/>
          <w:szCs w:val="22"/>
        </w:rPr>
        <w:t xml:space="preserve">42,000 job losses</w:t>
      </w:r>
      <w:r>
        <w:rPr>
          <w:rFonts w:ascii="Calibri" w:cs="Calibri" w:eastAsia="Calibri" w:hAnsi="Calibri"/>
          <w:color w:val="1E293B"/>
          <w:sz w:val="22"/>
          <w:szCs w:val="22"/>
        </w:rPr>
        <w:t xml:space="preserve"> broke a four-month hiring streak — but context matters. Annual employment is still up 217,000 (+1.0%) year-over-year, and the unemployment rate held at </w:t>
      </w:r>
      <w:r>
        <w:rPr>
          <w:rFonts w:ascii="Calibri" w:cs="Calibri" w:eastAsia="Calibri" w:hAnsi="Calibri"/>
          <w:b/>
          <w:bCs/>
          <w:color w:val="1E293B"/>
          <w:sz w:val="22"/>
          <w:szCs w:val="22"/>
        </w:rPr>
        <w:t xml:space="preserve">6.4%</w:t>
      </w:r>
      <w:r>
        <w:rPr>
          <w:rFonts w:ascii="Calibri" w:cs="Calibri" w:eastAsia="Calibri" w:hAnsi="Calibri"/>
          <w:color w:val="1E293B"/>
          <w:sz w:val="22"/>
          <w:szCs w:val="22"/>
        </w:rPr>
        <w:t xml:space="preserve"> unchanged. The more consequential reading is wage growth: average hourly wages rose just </w:t>
      </w:r>
      <w:r>
        <w:rPr>
          <w:rFonts w:ascii="Calibri" w:cs="Calibri" w:eastAsia="Calibri" w:hAnsi="Calibri"/>
          <w:b/>
          <w:bCs/>
          <w:color w:val="1E293B"/>
          <w:sz w:val="22"/>
          <w:szCs w:val="22"/>
        </w:rPr>
        <w:t xml:space="preserve">2.0% year-over-year</w:t>
      </w:r>
      <w:r>
        <w:rPr>
          <w:rFonts w:ascii="Calibri" w:cs="Calibri" w:eastAsia="Calibri" w:hAnsi="Calibri"/>
          <w:color w:val="1E293B"/>
          <w:sz w:val="22"/>
          <w:szCs w:val="22"/>
        </w:rPr>
        <w:t xml:space="preserve"> in August, the slowest pace since November 2017. For someone choosing a city based on income potential, this signals that the labour market of 2023 — where workers held genuine bargaining power — is behind us.</w:t>
      </w:r>
    </w:p>
    <w:p>
      <w:pPr>
        <w:spacing w:after="200" w:before="0" w:line="276"/>
      </w:pPr>
      <w:r>
        <w:rPr>
          <w:rFonts w:ascii="Calibri" w:cs="Calibri" w:eastAsia="Calibri" w:hAnsi="Calibri"/>
          <w:color w:val="1E293B"/>
          <w:sz w:val="22"/>
          <w:szCs w:val="22"/>
        </w:rPr>
        <w:t xml:space="preserve">The sector picture has clear winners and losers. </w:t>
      </w:r>
      <w:r>
        <w:rPr>
          <w:rFonts w:ascii="Calibri" w:cs="Calibri" w:eastAsia="Calibri" w:hAnsi="Calibri"/>
          <w:b/>
          <w:bCs/>
          <w:color w:val="1E293B"/>
          <w:sz w:val="22"/>
          <w:szCs w:val="22"/>
        </w:rPr>
        <w:t xml:space="preserve">Healthcare</w:t>
      </w:r>
      <w:r>
        <w:rPr>
          <w:rFonts w:ascii="Calibri" w:cs="Calibri" w:eastAsia="Calibri" w:hAnsi="Calibri"/>
          <w:color w:val="1E293B"/>
          <w:sz w:val="22"/>
          <w:szCs w:val="22"/>
        </w:rPr>
        <w:t xml:space="preserve"> added 129,000 jobs year-over-year (+4.5%) and </w:t>
      </w:r>
      <w:r>
        <w:rPr>
          <w:rFonts w:ascii="Calibri" w:cs="Calibri" w:eastAsia="Calibri" w:hAnsi="Calibri"/>
          <w:b/>
          <w:bCs/>
          <w:color w:val="1E293B"/>
          <w:sz w:val="22"/>
          <w:szCs w:val="22"/>
        </w:rPr>
        <w:t xml:space="preserve">information, culture and recreation</w:t>
      </w:r>
      <w:r>
        <w:rPr>
          <w:rFonts w:ascii="Calibri" w:cs="Calibri" w:eastAsia="Calibri" w:hAnsi="Calibri"/>
          <w:color w:val="1E293B"/>
          <w:sz w:val="22"/>
          <w:szCs w:val="22"/>
        </w:rPr>
        <w:t xml:space="preserve"> added 49,000 (+5.9%). Against that, </w:t>
      </w:r>
      <w:r>
        <w:rPr>
          <w:rFonts w:ascii="Calibri" w:cs="Calibri" w:eastAsia="Calibri" w:hAnsi="Calibri"/>
          <w:b/>
          <w:bCs/>
          <w:color w:val="1E293B"/>
          <w:sz w:val="22"/>
          <w:szCs w:val="22"/>
        </w:rPr>
        <w:t xml:space="preserve">wholesale and retail trade shed 55,000 jobs (-1.8%) year-over-year</w:t>
      </w:r>
      <w:r>
        <w:rPr>
          <w:rFonts w:ascii="Calibri" w:cs="Calibri" w:eastAsia="Calibri" w:hAnsi="Calibri"/>
          <w:color w:val="1E293B"/>
          <w:sz w:val="22"/>
          <w:szCs w:val="22"/>
        </w:rPr>
        <w:t xml:space="preserve"> — the single worst sector reading, consistent with slowing population-driven consumption. The </w:t>
      </w:r>
      <w:r>
        <w:rPr>
          <w:rFonts w:ascii="Calibri" w:cs="Calibri" w:eastAsia="Calibri" w:hAnsi="Calibri"/>
          <w:b/>
          <w:bCs/>
          <w:color w:val="1E293B"/>
          <w:sz w:val="22"/>
          <w:szCs w:val="22"/>
        </w:rPr>
        <w:t xml:space="preserve">public sector has shed 78,000 jobs since May</w:t>
      </w:r>
      <w:r>
        <w:rPr>
          <w:rFonts w:ascii="Calibri" w:cs="Calibri" w:eastAsia="Calibri" w:hAnsi="Calibri"/>
          <w:color w:val="1E293B"/>
          <w:sz w:val="22"/>
          <w:szCs w:val="22"/>
        </w:rPr>
        <w:t xml:space="preserve"> as federal and provincial governments tighten fiscal positions.</w:t>
      </w:r>
    </w:p>
    <w:p>
      <w:pPr>
        <w:spacing w:after="180" w:before="0" w:line="276"/>
      </w:pPr>
      <w:r>
        <w:rPr>
          <w:rFonts w:ascii="Calibri" w:cs="Calibri" w:eastAsia="Calibri" w:hAnsi="Calibri"/>
          <w:color w:val="1E293B"/>
          <w:sz w:val="22"/>
          <w:szCs w:val="22"/>
        </w:rPr>
        <w:t xml:space="preserve">City-level divergence is the most actionable piece of the data. </w:t>
      </w:r>
      <w:r>
        <w:rPr>
          <w:rFonts w:ascii="Calibri" w:cs="Calibri" w:eastAsia="Calibri" w:hAnsi="Calibri"/>
          <w:b/>
          <w:bCs/>
          <w:color w:val="1E293B"/>
          <w:sz w:val="22"/>
          <w:szCs w:val="22"/>
        </w:rPr>
        <w:t xml:space="preserve">Calgary leads major CMAs at +5.7% employment growth year-over-year</w:t>
      </w:r>
      <w:r>
        <w:rPr>
          <w:rFonts w:ascii="Calibri" w:cs="Calibri" w:eastAsia="Calibri" w:hAnsi="Calibri"/>
          <w:color w:val="1E293B"/>
          <w:sz w:val="22"/>
          <w:szCs w:val="22"/>
        </w:rPr>
        <w:t xml:space="preserve">. </w:t>
      </w:r>
      <w:r>
        <w:rPr>
          <w:rFonts w:ascii="Calibri" w:cs="Calibri" w:eastAsia="Calibri" w:hAnsi="Calibri"/>
          <w:b/>
          <w:bCs/>
          <w:color w:val="1E293B"/>
          <w:sz w:val="22"/>
          <w:szCs w:val="22"/>
        </w:rPr>
        <w:t xml:space="preserve">Toronto</w:t>
      </w:r>
      <w:r>
        <w:rPr>
          <w:rFonts w:ascii="Calibri" w:cs="Calibri" w:eastAsia="Calibri" w:hAnsi="Calibri"/>
          <w:color w:val="1E293B"/>
          <w:sz w:val="22"/>
          <w:szCs w:val="22"/>
        </w:rPr>
        <w:t xml:space="preserve"> has staged a striking recovery, with CMA unemployment down from 9.0% in July 2025 to </w:t>
      </w:r>
      <w:r>
        <w:rPr>
          <w:rFonts w:ascii="Calibri" w:cs="Calibri" w:eastAsia="Calibri" w:hAnsi="Calibri"/>
          <w:b/>
          <w:bCs/>
          <w:color w:val="1E293B"/>
          <w:sz w:val="22"/>
          <w:szCs w:val="22"/>
        </w:rPr>
        <w:t xml:space="preserve">6.7%</w:t>
      </w:r>
      <w:r>
        <w:rPr>
          <w:rFonts w:ascii="Calibri" w:cs="Calibri" w:eastAsia="Calibri" w:hAnsi="Calibri"/>
          <w:color w:val="1E293B"/>
          <w:sz w:val="22"/>
          <w:szCs w:val="22"/>
        </w:rPr>
        <w:t xml:space="preserve"> in August 2026. </w:t>
      </w:r>
      <w:r>
        <w:rPr>
          <w:rFonts w:ascii="Calibri" w:cs="Calibri" w:eastAsia="Calibri" w:hAnsi="Calibri"/>
          <w:b/>
          <w:bCs/>
          <w:color w:val="1E293B"/>
          <w:sz w:val="22"/>
          <w:szCs w:val="22"/>
        </w:rPr>
        <w:t xml:space="preserve">Vancouver</w:t>
      </w:r>
      <w:r>
        <w:rPr>
          <w:rFonts w:ascii="Calibri" w:cs="Calibri" w:eastAsia="Calibri" w:hAnsi="Calibri"/>
          <w:color w:val="1E293B"/>
          <w:sz w:val="22"/>
          <w:szCs w:val="22"/>
        </w:rPr>
        <w:t xml:space="preserve"> is the laggard, with employment -0.8% year-over-year. </w:t>
      </w:r>
      <w:r>
        <w:rPr>
          <w:rFonts w:ascii="Calibri" w:cs="Calibri" w:eastAsia="Calibri" w:hAnsi="Calibri"/>
          <w:b/>
          <w:bCs/>
          <w:color w:val="1E293B"/>
          <w:sz w:val="22"/>
          <w:szCs w:val="22"/>
        </w:rPr>
        <w:t xml:space="preserve">Montreal/Quebec</w:t>
      </w:r>
      <w:r>
        <w:rPr>
          <w:rFonts w:ascii="Calibri" w:cs="Calibri" w:eastAsia="Calibri" w:hAnsi="Calibri"/>
          <w:color w:val="1E293B"/>
          <w:sz w:val="22"/>
          <w:szCs w:val="22"/>
        </w:rPr>
        <w:t xml:space="preserve"> is the only province with an annual employment decline — Quebec shed 54,000 jobs (-1.2%) year-over-year.</w:t>
      </w:r>
    </w:p>
    <w:p>
      <w:pPr>
        <w:pBdr>
          <w:bottom w:val="single" w:color="14B8A6" w:sz="6" w:space="1"/>
        </w:pBdr>
        <w:spacing w:after="240" w:before="240"/>
      </w:pPr>
    </w:p>
    <w:p>
      <w:pPr>
        <w:pStyle w:val="Heading1"/>
        <w:spacing w:after="120" w:before="480"/>
      </w:pPr>
      <w:r>
        <w:rPr>
          <w:rFonts w:ascii="Calibri" w:cs="Calibri" w:eastAsia="Calibri" w:hAnsi="Calibri"/>
          <w:b/>
          <w:bCs/>
          <w:color w:val="1E3A5F"/>
          <w:sz w:val="36"/>
          <w:szCs w:val="36"/>
        </w:rPr>
        <w:t xml:space="preserve">City Spotlights</w:t>
      </w:r>
    </w:p>
    <w:p>
      <w:pPr>
        <w:pStyle w:val="Heading2"/>
        <w:spacing w:after="120" w:before="320"/>
      </w:pPr>
      <w:r>
        <w:rPr>
          <w:rFonts w:ascii="Calibri" w:cs="Calibri" w:eastAsia="Calibri" w:hAnsi="Calibri"/>
          <w:b/>
          <w:bCs/>
          <w:color w:val="E86C2F"/>
          <w:sz w:val="28"/>
          <w:szCs w:val="28"/>
        </w:rPr>
        <w:t xml:space="preserve">Calgary: The Affordability Story Is Becoming a Stress Test</w:t>
      </w:r>
    </w:p>
    <w:p>
      <w:pPr>
        <w:spacing w:after="180" w:before="0" w:line="276"/>
      </w:pPr>
      <w:r>
        <w:rPr>
          <w:rFonts w:ascii="Calibri" w:cs="Calibri" w:eastAsia="Calibri" w:hAnsi="Calibri"/>
          <w:color w:val="1E293B"/>
          <w:sz w:val="22"/>
          <w:szCs w:val="22"/>
        </w:rPr>
        <w:t xml:space="preserve">Calgary looked like Canada's obvious relocation winner through 2023 and 2024 — affordable housing, booming jobs, and no provincial sales tax (PST). The data through August 2026 shows a more complicated picture. On housing, the benchmark price of </w:t>
      </w:r>
      <w:r>
        <w:rPr>
          <w:rFonts w:ascii="Calibri" w:cs="Calibri" w:eastAsia="Calibri" w:hAnsi="Calibri"/>
          <w:b/>
          <w:bCs/>
          <w:color w:val="1E293B"/>
          <w:sz w:val="22"/>
          <w:szCs w:val="22"/>
        </w:rPr>
        <w:t xml:space="preserve">$569,800</w:t>
      </w:r>
      <w:r>
        <w:rPr>
          <w:rFonts w:ascii="Calibri" w:cs="Calibri" w:eastAsia="Calibri" w:hAnsi="Calibri"/>
          <w:color w:val="1E293B"/>
          <w:sz w:val="22"/>
          <w:szCs w:val="22"/>
        </w:rPr>
        <w:t xml:space="preserve"> remains far below Toronto or Vancouver, and the RBC affordability measure of </w:t>
      </w:r>
      <w:r>
        <w:rPr>
          <w:rFonts w:ascii="Calibri" w:cs="Calibri" w:eastAsia="Calibri" w:hAnsi="Calibri"/>
          <w:b/>
          <w:bCs/>
          <w:color w:val="1E293B"/>
          <w:sz w:val="22"/>
          <w:szCs w:val="22"/>
        </w:rPr>
        <w:t xml:space="preserve">41.3%</w:t>
      </w:r>
      <w:r>
        <w:rPr>
          <w:rFonts w:ascii="Calibri" w:cs="Calibri" w:eastAsia="Calibri" w:hAnsi="Calibri"/>
          <w:color w:val="1E293B"/>
          <w:sz w:val="22"/>
          <w:szCs w:val="22"/>
        </w:rPr>
        <w:t xml:space="preserve"> is close to its long-term average. But the rental market tells a different story: Calgary is the only major CMA where in-place rents are actually negative (-1.9% year-over-year), asking rents lead the national decline at -4.5%, and the </w:t>
      </w:r>
      <w:r>
        <w:rPr>
          <w:rFonts w:ascii="Calibri" w:cs="Calibri" w:eastAsia="Calibri" w:hAnsi="Calibri"/>
          <w:b/>
          <w:bCs/>
          <w:color w:val="1E293B"/>
          <w:sz w:val="22"/>
          <w:szCs w:val="22"/>
        </w:rPr>
        <w:t xml:space="preserve">6.8% vacancy rate</w:t>
      </w:r>
      <w:r>
        <w:rPr>
          <w:rFonts w:ascii="Calibri" w:cs="Calibri" w:eastAsia="Calibri" w:hAnsi="Calibri"/>
          <w:color w:val="1E293B"/>
          <w:sz w:val="22"/>
          <w:szCs w:val="22"/>
        </w:rPr>
        <w:t xml:space="preserve"> reflects 23,000+ apartments delivered into softening demand. Calgary's high annual rental turnover (~39.7%) means landlords are under constant repricing pressure — genuine leverage for a renter, but uncertainty for a buyer relying on employment stability in energy and manufacturing. Calgary continues to offer relatively favourable housing economics for households with stable employment. Run the rent-vs-buy math at current vacancy levels through Lakive's </w:t>
      </w:r>
      <w:r>
        <w:rPr>
          <w:rFonts w:ascii="Calibri" w:cs="Calibri" w:eastAsia="Calibri" w:hAnsi="Calibri"/>
          <w:b/>
          <w:bCs/>
          <w:color w:val="1E293B"/>
          <w:sz w:val="22"/>
          <w:szCs w:val="22"/>
        </w:rPr>
        <w:t xml:space="preserve">Calculate</w:t>
      </w:r>
      <w:r>
        <w:rPr>
          <w:rFonts w:ascii="Calibri" w:cs="Calibri" w:eastAsia="Calibri" w:hAnsi="Calibri"/>
          <w:color w:val="1E293B"/>
          <w:sz w:val="22"/>
          <w:szCs w:val="22"/>
        </w:rPr>
        <w:t xml:space="preserve"> tool to evaluate the rent-vs-buy math against your specific household circumstances.</w:t>
      </w:r>
    </w:p>
    <w:p>
      <w:pPr>
        <w:pStyle w:val="Heading2"/>
        <w:spacing w:after="120" w:before="320"/>
      </w:pPr>
      <w:r>
        <w:rPr>
          <w:rFonts w:ascii="Calibri" w:cs="Calibri" w:eastAsia="Calibri" w:hAnsi="Calibri"/>
          <w:b/>
          <w:bCs/>
          <w:color w:val="14B8A6"/>
          <w:sz w:val="28"/>
          <w:szCs w:val="28"/>
        </w:rPr>
        <w:t xml:space="preserve">Halifax: Canada's Tightest Rental Market</w:t>
      </w:r>
    </w:p>
    <w:p>
      <w:pPr>
        <w:spacing w:after="180" w:before="0" w:line="276"/>
      </w:pPr>
      <w:r>
        <w:rPr>
          <w:rFonts w:ascii="Calibri" w:cs="Calibri" w:eastAsia="Calibri" w:hAnsi="Calibri"/>
          <w:color w:val="1E293B"/>
          <w:sz w:val="22"/>
          <w:szCs w:val="22"/>
        </w:rPr>
        <w:t xml:space="preserve">Halifax is the sharpest outlier in Canada's rental data right now. Nova Scotia apartment asking rents are up </w:t>
      </w:r>
      <w:r>
        <w:rPr>
          <w:rFonts w:ascii="Calibri" w:cs="Calibri" w:eastAsia="Calibri" w:hAnsi="Calibri"/>
          <w:b/>
          <w:bCs/>
          <w:color w:val="1E293B"/>
          <w:sz w:val="22"/>
          <w:szCs w:val="22"/>
        </w:rPr>
        <w:t xml:space="preserve">+3.1% year-over-year</w:t>
      </w:r>
      <w:r>
        <w:rPr>
          <w:rFonts w:ascii="Calibri" w:cs="Calibri" w:eastAsia="Calibri" w:hAnsi="Calibri"/>
          <w:color w:val="1E293B"/>
          <w:sz w:val="22"/>
          <w:szCs w:val="22"/>
        </w:rPr>
        <w:t xml:space="preserve"> — one of only two provinces with positive annual growth — and Halifax's vacancy rate of </w:t>
      </w:r>
      <w:r>
        <w:rPr>
          <w:rFonts w:ascii="Calibri" w:cs="Calibri" w:eastAsia="Calibri" w:hAnsi="Calibri"/>
          <w:b/>
          <w:bCs/>
          <w:color w:val="1E293B"/>
          <w:sz w:val="22"/>
          <w:szCs w:val="22"/>
        </w:rPr>
        <w:t xml:space="preserve">2.4%</w:t>
      </w:r>
      <w:r>
        <w:rPr>
          <w:rFonts w:ascii="Calibri" w:cs="Calibri" w:eastAsia="Calibri" w:hAnsi="Calibri"/>
          <w:color w:val="1E293B"/>
          <w:sz w:val="22"/>
          <w:szCs w:val="22"/>
        </w:rPr>
        <w:t xml:space="preserve"> is the tightest in the country. In-place rent growth is running at +5.7% year-over-year — the strongest in Canada — and Dartmouth posted +10.8% asking rent growth, among the top readings nationally. On ownership, Halifax carries an RBC affordability reading of </w:t>
      </w:r>
      <w:r>
        <w:rPr>
          <w:rFonts w:ascii="Calibri" w:cs="Calibri" w:eastAsia="Calibri" w:hAnsi="Calibri"/>
          <w:b/>
          <w:bCs/>
          <w:color w:val="1E293B"/>
          <w:sz w:val="22"/>
          <w:szCs w:val="22"/>
        </w:rPr>
        <w:t xml:space="preserve">42.1%</w:t>
      </w:r>
      <w:r>
        <w:rPr>
          <w:rFonts w:ascii="Calibri" w:cs="Calibri" w:eastAsia="Calibri" w:hAnsi="Calibri"/>
          <w:color w:val="1E293B"/>
          <w:sz w:val="22"/>
          <w:szCs w:val="22"/>
        </w:rPr>
        <w:t xml:space="preserve"> and provincial unemployment sits at 6.1%. Halifax is not cheap, but it is among Canada's tightest markets — a dynamic that warrants closer monitoring for anyone evaluating Atlantic Canada options. Lakive's </w:t>
      </w:r>
      <w:r>
        <w:rPr>
          <w:rFonts w:ascii="Calibri" w:cs="Calibri" w:eastAsia="Calibri" w:hAnsi="Calibri"/>
          <w:b/>
          <w:bCs/>
          <w:color w:val="1E293B"/>
          <w:sz w:val="22"/>
          <w:szCs w:val="22"/>
        </w:rPr>
        <w:t xml:space="preserve">Rankings</w:t>
      </w:r>
      <w:r>
        <w:rPr>
          <w:rFonts w:ascii="Calibri" w:cs="Calibri" w:eastAsia="Calibri" w:hAnsi="Calibri"/>
          <w:color w:val="1E293B"/>
          <w:sz w:val="22"/>
          <w:szCs w:val="22"/>
        </w:rPr>
        <w:t xml:space="preserve"> place it among the top markets for healthcare workers and those in the defence and marine sectors.</w:t>
      </w:r>
    </w:p>
    <w:p>
      <w:pPr>
        <w:pStyle w:val="Heading2"/>
        <w:spacing w:after="120" w:before="320"/>
      </w:pPr>
      <w:r>
        <w:rPr>
          <w:rFonts w:ascii="Calibri" w:cs="Calibri" w:eastAsia="Calibri" w:hAnsi="Calibri"/>
          <w:b/>
          <w:bCs/>
          <w:color w:val="1E3A5F"/>
          <w:sz w:val="28"/>
          <w:szCs w:val="28"/>
        </w:rPr>
        <w:t xml:space="preserve">Toronto: A Slow Stabilization That Is Finally Showing Up in the Data</w:t>
      </w:r>
    </w:p>
    <w:p>
      <w:pPr>
        <w:spacing w:after="180" w:before="0" w:line="276"/>
      </w:pPr>
      <w:r>
        <w:rPr>
          <w:rFonts w:ascii="Calibri" w:cs="Calibri" w:eastAsia="Calibri" w:hAnsi="Calibri"/>
          <w:color w:val="1E293B"/>
          <w:sz w:val="22"/>
          <w:szCs w:val="22"/>
        </w:rPr>
        <w:t xml:space="preserve">Toronto spent most of 2025 looking like a cautionary tale: 9.0% unemployment, declining prices, a condo market flooded with investor units. A year later, CMA unemployment is down to </w:t>
      </w:r>
      <w:r>
        <w:rPr>
          <w:rFonts w:ascii="Calibri" w:cs="Calibri" w:eastAsia="Calibri" w:hAnsi="Calibri"/>
          <w:b/>
          <w:bCs/>
          <w:color w:val="1E293B"/>
          <w:sz w:val="22"/>
          <w:szCs w:val="22"/>
        </w:rPr>
        <w:t xml:space="preserve">6.7%</w:t>
      </w:r>
      <w:r>
        <w:rPr>
          <w:rFonts w:ascii="Calibri" w:cs="Calibri" w:eastAsia="Calibri" w:hAnsi="Calibri"/>
          <w:color w:val="1E293B"/>
          <w:sz w:val="22"/>
          <w:szCs w:val="22"/>
        </w:rPr>
        <w:t xml:space="preserve"> and Ontario employment is up 116,000 (+1.4%) year-over-year. The rental market is showing early stabilisation: Toronto's 2-bedroom asking rents are up </w:t>
      </w:r>
      <w:r>
        <w:rPr>
          <w:rFonts w:ascii="Calibri" w:cs="Calibri" w:eastAsia="Calibri" w:hAnsi="Calibri"/>
          <w:b/>
          <w:bCs/>
          <w:color w:val="1E293B"/>
          <w:sz w:val="22"/>
          <w:szCs w:val="22"/>
        </w:rPr>
        <w:t xml:space="preserve">+0.3% year-over-year</w:t>
      </w:r>
      <w:r>
        <w:rPr>
          <w:rFonts w:ascii="Calibri" w:cs="Calibri" w:eastAsia="Calibri" w:hAnsi="Calibri"/>
          <w:color w:val="1E293B"/>
          <w:sz w:val="22"/>
          <w:szCs w:val="22"/>
        </w:rPr>
        <w:t xml:space="preserve"> and 3-bedroom units are up +3.5% — a striking divergence from the headline -1.4% overall. The condo segment on the ownership side has reached its most favourable affordability level since 2017. Toronto is not recovering uniformly — public sector workers, retail employees, and studio condo renters are still under pressure — but for healthcare workers, ICT professionals, and families looking at larger units, the fundamentals have quietly improved. Use Lakive's </w:t>
      </w:r>
      <w:r>
        <w:rPr>
          <w:rFonts w:ascii="Calibri" w:cs="Calibri" w:eastAsia="Calibri" w:hAnsi="Calibri"/>
          <w:b/>
          <w:bCs/>
          <w:color w:val="1E293B"/>
          <w:sz w:val="22"/>
          <w:szCs w:val="22"/>
        </w:rPr>
        <w:t xml:space="preserve">Compare</w:t>
      </w:r>
      <w:r>
        <w:rPr>
          <w:rFonts w:ascii="Calibri" w:cs="Calibri" w:eastAsia="Calibri" w:hAnsi="Calibri"/>
          <w:color w:val="1E293B"/>
          <w:sz w:val="22"/>
          <w:szCs w:val="22"/>
        </w:rPr>
        <w:t xml:space="preserve"> tool to benchmark Toronto against Calgary for your specific sector and income level.</w:t>
      </w:r>
    </w:p>
    <w:p>
      <w:pPr>
        <w:pBdr>
          <w:bottom w:val="single" w:color="14B8A6" w:sz="6" w:space="1"/>
        </w:pBdr>
        <w:spacing w:after="240" w:before="240"/>
      </w:pPr>
    </w:p>
    <w:p>
      <w:pPr>
        <w:pStyle w:val="Heading1"/>
        <w:spacing w:after="120" w:before="480"/>
      </w:pPr>
      <w:r>
        <w:rPr>
          <w:rFonts w:ascii="Calibri" w:cs="Calibri" w:eastAsia="Calibri" w:hAnsi="Calibri"/>
          <w:b/>
          <w:bCs/>
          <w:color w:val="1E3A5F"/>
          <w:sz w:val="36"/>
          <w:szCs w:val="36"/>
        </w:rPr>
        <w:t xml:space="preserve">What to Watch: Three Dates That Will Move the Needle</w:t>
      </w:r>
    </w:p>
    <w:p>
      <w:pPr>
        <w:pStyle w:val="Heading2"/>
        <w:spacing w:after="120" w:before="320"/>
      </w:pPr>
      <w:r>
        <w:rPr>
          <w:rFonts w:ascii="Calibri" w:cs="Calibri" w:eastAsia="Calibri" w:hAnsi="Calibri"/>
          <w:b/>
          <w:bCs/>
          <w:color w:val="1E3A5F"/>
          <w:sz w:val="28"/>
          <w:szCs w:val="28"/>
        </w:rPr>
        <w:t xml:space="preserve">October 9 — September Labour Force Survey</w:t>
      </w:r>
    </w:p>
    <w:p>
      <w:pPr>
        <w:spacing w:after="180" w:before="0" w:line="276"/>
      </w:pPr>
      <w:r>
        <w:rPr>
          <w:rFonts w:ascii="Calibri" w:cs="Calibri" w:eastAsia="Calibri" w:hAnsi="Calibri"/>
          <w:color w:val="1E293B"/>
          <w:sz w:val="22"/>
          <w:szCs w:val="22"/>
        </w:rPr>
        <w:t xml:space="preserve">August's 42,000 job loss was the first monthly decline after four months of gains. The September report will establish whether that was noise or a trend. The critical variables: whether public sector shedding continues (the three-month total through August was -78,000 since May), whether manufacturing holds its August gain (+22,000), and whether the tariff-exposed layoff rate widened after the September 8 counter-tariff implementation. If September prints another negative, the BoC's October 28 calculus shifts meaningfully toward a hold — which would preserve current fixed mortgage rates for buyers on the fence.</w:t>
      </w:r>
    </w:p>
    <w:p>
      <w:pPr>
        <w:pStyle w:val="Heading2"/>
        <w:spacing w:after="120" w:before="320"/>
      </w:pPr>
      <w:r>
        <w:rPr>
          <w:rFonts w:ascii="Calibri" w:cs="Calibri" w:eastAsia="Calibri" w:hAnsi="Calibri"/>
          <w:b/>
          <w:bCs/>
          <w:color w:val="1E3A5F"/>
          <w:sz w:val="28"/>
          <w:szCs w:val="28"/>
        </w:rPr>
        <w:t xml:space="preserve">October 16 — CREA September Housing Data</w:t>
      </w:r>
    </w:p>
    <w:p>
      <w:pPr>
        <w:spacing w:after="180" w:before="0" w:line="276"/>
      </w:pPr>
      <w:r>
        <w:rPr>
          <w:rFonts w:ascii="Calibri" w:cs="Calibri" w:eastAsia="Calibri" w:hAnsi="Calibri"/>
          <w:color w:val="1E293B"/>
          <w:sz w:val="22"/>
          <w:szCs w:val="22"/>
        </w:rPr>
        <w:t xml:space="preserve">The first September housing reading will confirm or challenge the "price floor" narrative August's HPI data suggested. Seasonal patterns typically bring more serious buyers into the fall market; a stronger-than-expected sales reading would be the first concrete signal that the correction is genuinely over. Watch whether the purpose-built rental surge continues or whether rising construction costs and falling rents are starting to pull permits.</w:t>
      </w:r>
    </w:p>
    <w:p>
      <w:pPr>
        <w:pStyle w:val="Heading2"/>
        <w:spacing w:after="120" w:before="320"/>
      </w:pPr>
      <w:r>
        <w:rPr>
          <w:rFonts w:ascii="Calibri" w:cs="Calibri" w:eastAsia="Calibri" w:hAnsi="Calibri"/>
          <w:b/>
          <w:bCs/>
          <w:color w:val="1E3A5F"/>
          <w:sz w:val="28"/>
          <w:szCs w:val="28"/>
        </w:rPr>
        <w:t xml:space="preserve">October 28 — Bank of Canada Rate Decision and MPR</w:t>
      </w:r>
    </w:p>
    <w:p>
      <w:pPr>
        <w:spacing w:after="180" w:before="0" w:line="276"/>
      </w:pPr>
      <w:r>
        <w:rPr>
          <w:rFonts w:ascii="Calibri" w:cs="Calibri" w:eastAsia="Calibri" w:hAnsi="Calibri"/>
          <w:color w:val="1E293B"/>
          <w:sz w:val="22"/>
          <w:szCs w:val="22"/>
        </w:rPr>
        <w:t xml:space="preserve">Markets currently price the October 28 decision at </w:t>
      </w:r>
      <w:r>
        <w:rPr>
          <w:rFonts w:ascii="Calibri" w:cs="Calibri" w:eastAsia="Calibri" w:hAnsi="Calibri"/>
          <w:b/>
          <w:bCs/>
          <w:color w:val="1E293B"/>
          <w:sz w:val="22"/>
          <w:szCs w:val="22"/>
        </w:rPr>
        <w:t xml:space="preserve">approximately 95% probability of a hold</w:t>
      </w:r>
      <w:r>
        <w:rPr>
          <w:rFonts w:ascii="Calibri" w:cs="Calibri" w:eastAsia="Calibri" w:hAnsi="Calibri"/>
          <w:color w:val="1E293B"/>
          <w:sz w:val="22"/>
          <w:szCs w:val="22"/>
        </w:rPr>
        <w:t xml:space="preserve"> at 2.25%, per prediction market data as of early October — with a small minority pricing a 25-basis-point hike to 2.50%. The updated Monetary Policy Report will include revised inflation and growth forecasts — the first full projection update since July. Any rate change would immediately feed into variable mortgage rates and could push 5-year fixed rates as bond yields reprice. Regardless of the outcome, the accompanying MPR commentary on the tariff and inflation outlook will shape market expectations through year-end.</w:t>
      </w:r>
    </w:p>
    <w:p>
      <w:pPr>
        <w:pBdr>
          <w:bottom w:val="single" w:color="14B8A6" w:sz="6" w:space="1"/>
        </w:pBdr>
        <w:spacing w:after="240" w:before="240"/>
      </w:pPr>
    </w:p>
    <w:p>
      <w:pPr>
        <w:pStyle w:val="Heading2"/>
        <w:spacing w:after="120" w:before="320"/>
      </w:pPr>
      <w:r>
        <w:rPr>
          <w:rFonts w:ascii="Calibri" w:cs="Calibri" w:eastAsia="Calibri" w:hAnsi="Calibri"/>
          <w:b/>
          <w:bCs/>
          <w:color w:val="94A3B8"/>
          <w:sz w:val="28"/>
          <w:szCs w:val="28"/>
        </w:rPr>
        <w:t xml:space="preserve">Data Notes</w:t>
      </w:r>
    </w:p>
    <w:p>
      <w:pPr>
        <w:spacing w:after="120" w:before="0" w:line="264"/>
      </w:pPr>
      <w:r>
        <w:rPr>
          <w:rFonts w:ascii="Calibri" w:cs="Calibri" w:eastAsia="Calibri" w:hAnsi="Calibri"/>
          <w:i/>
          <w:iCs/>
          <w:color w:val="64748B"/>
          <w:sz w:val="18"/>
          <w:szCs w:val="18"/>
        </w:rPr>
        <w:t xml:space="preserve">All housing data refers to the August 2026 reference period (CREA national statistics released September 15; CMHC starts data released September 16; RBC affordability data covering Q2 2026, released September 28). All rental market data refers to August 2026 (Rentals.ca/Urbanation National Rent Report released September 9; Yardi Canadian National Multifamily Report Q3 2026 released September 3). All employment data refers to the August 2026 Labour Force Survey released September 4. September 2026 data across all three market categories remains pending as of this report's publication date of October 5, 2026.</w:t>
      </w:r>
    </w:p>
    <w:p>
      <w:pPr>
        <w:pBdr>
          <w:top w:val="single" w:color="14B8A6" w:sz="4" w:space="1"/>
        </w:pBdr>
        <w:spacing w:after="0" w:before="480"/>
      </w:pPr>
    </w:p>
    <w:p>
      <w:pPr>
        <w:spacing w:after="0" w:before="120"/>
        <w:jc w:val="center"/>
      </w:pPr>
      <w:r>
        <w:rPr>
          <w:rFonts w:ascii="Calibri" w:cs="Calibri" w:eastAsia="Calibri" w:hAnsi="Calibri"/>
          <w:i/>
          <w:iCs/>
          <w:color w:val="94A3B8"/>
          <w:sz w:val="18"/>
          <w:szCs w:val="18"/>
        </w:rPr>
        <w:t xml:space="preserve">Lakive aggregates data from Statistics Canada, CREA, CMHC, Rentals.ca/Urbanation, Yardi Matrix, RBC Economics, and Bank of Canada releases.</w:t>
      </w:r>
    </w:p>
    <w:p>
      <w:pPr>
        <w:spacing w:after="0" w:before="60"/>
        <w:jc w:val="center"/>
      </w:pPr>
      <w:r>
        <w:rPr>
          <w:rFonts w:ascii="Calibri" w:cs="Calibri" w:eastAsia="Calibri" w:hAnsi="Calibri"/>
          <w:b/>
          <w:bCs/>
          <w:color w:val="14B8A6"/>
          <w:sz w:val="18"/>
          <w:szCs w:val="18"/>
        </w:rPr>
        <w:t xml:space="preserve">Use Lakive Compare, Rankings, and Calculate to see how national trends translate to your income, sector, and city.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d49097d478f75a5a4f3147d5fa282f453342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2026-10-08T04:56:06.237Z</dcterms:created>
  <dcterms:modified xsi:type="dcterms:W3CDTF">2026-10-08T04:56:06.237Z</dcterms:modified>
</cp:coreProperties>
</file>

<file path=docProps/custom.xml><?xml version="1.0" encoding="utf-8"?>
<Properties xmlns="http://schemas.openxmlformats.org/officeDocument/2006/custom-properties" xmlns:vt="http://schemas.openxmlformats.org/officeDocument/2006/docPropsVTypes"/>
</file>