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00046｜亲贤借力，拓局成长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摘要：主动亲近外部贤才，借力优质圈层，开阔格局、成就自身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存在突破自我、提升格局的潜在诉求，在该事务的推进过程中，大概率有机会对接外部优质人脉、高阶圈层与贤能之人，借助外力实现自我精进与局势突破。该阶段易出现的核心心态误区，是自我设限、胆怯畏缩或是功利浮躁，要么固守固有舒适圈，不敢主动链接优质资源、亲近贤才，错失进阶机缘；要么带着投机攀附的功利心态社交，急于借助他人捷径获利，过度追求短期回报。在该事务的推进过程中，这类偏差心态极易造成精力内耗，要么原地踏步、无法突破局限，要么社交流于表面、难以建立深层正向联结，无法真正借助外力成长。因此在该类事务中，需放平浮躁心态，摒弃妄念与怯懦，以真诚谦卑的姿态主动亲近贤才、融入优质圈层，重在学习沉淀、取长补短，借正向外力开阔自身格局、稳步成就自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推进过程中，大概率容易自我局限、心态怯懦，不敢主动对接优秀前辈与优质圈层，固守现有状态错失成长机会；也可能心态失衡，刻意讨好攀附、急于求成，最终消耗心力却一无所获。建议在该类事务中打破自我桎梏，主动靠拢正向贤才，以踏实靠谱的行事态度积累信任，专注吸收优势经验、打磨自身能力，借优质圈层稳步突围成长。</w:t>
        <w:br/>
        <w:t>手握统筹权限、具备主导能力的人，在部分事务的统筹布局</w:t>
      </w:r>
      <w:r>
        <w:rPr>
          <w:rFonts w:eastAsia="等线" w:ascii="Arial" w:cs="Arial" w:hAnsi="Arial"/>
          <w:sz w:val="22"/>
        </w:rPr>
        <w:t>中，易陷入圈层固化、社交功利的误区，大概率固守固有资源不愿更新，导致格局难以拓宽；或是只看重短期利益、以交易心态合作，缺少长线学习与共赢思维。建议在该类事务中主动走出舒适圈，积极链接外部贤能资源，坚守正向本心、摒弃投机思维，以真诚长远的合作姿态整合优势力量，借外部优质资源完善布局、拓宽整体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总起段：虚心亲贤、借势精进，则格局日广、稳步有成；固步自封、功利妄求，则心智受限、进步艰难。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流汇河、渐成阔势：零散细流不固守一隅，主动汇入江河干流，持续吸纳活水、借力大势，逐步汇聚成宽阔水流、拥有磅礴力量；对应人在部分事务中主动跳出固有小圈层，亲近外部贤才、融入优质圈子，持续吸纳新知、补齐短板，借正向外力突破自我局限、拓宽认知格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浮土固封、日渐贫瘠：表层土壤长期封闭固守、不与外界互通，无法吸纳雨露养分、新鲜生机，久而久之土质贫瘠、毫无生机；对应人在部分事务中固步自封、拒绝向外学习，不愿链接优质人脉、借鉴他人长处，心智与认知逐渐固化，难以实现自我突破与局势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细流汇河拓势、浮土固封贫瘠的生活化直观物象为参照，在该类事务的推进过程中，核心在于主动破局、虚心亲贤。彻底摒弃怯懦固守、功利投机的不良心态，主动对接外部优质圈层与贤能之人，以谦卑真诚的姿态学习精进、借力成长。不依附、不妄求，借外力修己身、拓格局，方能稳步突破局限、收获长远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3659">
    <w:lvl>
      <w:start w:val="1"/>
      <w:numFmt w:val="decimal"/>
      <w:suff w:val="tab"/>
      <w:lvlText w:val="%1."/>
      <w:rPr>
        <w:color w:val="3370ff"/>
      </w:rPr>
    </w:lvl>
  </w:abstractNum>
  <w:abstractNum w:abstractNumId="105366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53659"/>
  </w:num>
  <w:num w:numId="2">
    <w:abstractNumId w:val="10536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2026-08-06T14:49:39Z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{"Label":"1","ContentProducer":"001191110102MACQD9K64010000","ProduceID":"7670930855447088430","ReservedCode1":"","ContentPropagator":"","PropagateID":"","ReservedCode2":""}</vt:lpwstr>
  </property>
</Properties>
</file>