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00053｜诚信相携，同心共赢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摘要：彼此诚信互助、同心协力，携手共进、互利共赢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具备抱团协作、合力成事的良好基础，在该事务的团队配合、人际联动过程中，大概率可以依托彼此信任、互帮互助的模式，实现协同推进、双向增益。该阶段易出现的核心心态误区，是私心偏重、计较得失，大概率会在协作中过度权衡个人利弊、心存保留，不愿全然交付信任、全力配合付出，习惯性暗自算计得失、独享成果。在该事务的推进过程中，这类功利狭隘的心态，大概率会削弱彼此默契、割裂协作合力，让原本可以互利共赢的合作变得松散拘谨，难以凝聚同心力量，错失抱团进阶、共同成长的优质机缘。长期各自算计、不愿互助，容易导致协作断裂、优势分散，事务推进难以突破。因此在该类事务中，需摒弃私心杂念与功利执念，坚守诚信本心，主动互助扶持、同心协力，以包容共赢的姿态携手共进，依托团队合力做大成果、实现双向成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配合联动、借力成长过程中，大概率容易患得患失、计较付出，协作中有所保留、被动敷衍，不敢全心投入、真诚互助，导致团队默契不足、联动不畅，难以借助集体优势实现自我提升。建议在该类事务中放下功利计较的心态，待人诚信真挚、做事全力补位，主动配合协同、互帮互助，在同心共进中积累成长机遇、收获稳步增益。</w:t>
        <w:br/>
        <w:t>手握统筹权限、具备主导能力的人，在部分</w:t>
      </w:r>
      <w:r>
        <w:rPr>
          <w:rFonts w:eastAsia="等线" w:ascii="Arial" w:cs="Arial" w:hAnsi="Arial"/>
          <w:sz w:val="22"/>
        </w:rPr>
        <w:t>事务的团队统筹、格局布局过程中，易出现格局狭隘、独享成果的问题，大概率会偏重个人与单方利益，忽视团队伙伴的价值与诉求，不愿资源共享、互利赋能，难以聚拢人心、凝聚合力。建议在该类事务中秉持共赢思维，待人诚信坦荡、处事公允利他，主动带动团队互助共进，兼顾各方利益、整合优质力量，以同心协作的格局实现多方共赢、稳步拓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总起段：诚信相系、同心互助，则合力凝聚、互利共进；私心算计、各自为战，则默契消散、诸事难成。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纤绳相牵、聚力同行：多根细绳相互缠绕牵连、紧密相依，彼此绑定聚力、互不脱离，方能承载更大力量、稳步前行；对应人在部分事务中以诚信联结伙伴，彼此信任、同心绑定，摒弃私心隔阂，互助互补、协同发力，凝聚团队正向合力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众舟共济、同渡平川：多艘船只结伴同行、相互帮扶，顺势协同、彼此照应，能够规避风浪、平稳渡河，远超孤舟独行的稳妥成效；对应人在部分事务中摒弃独自逞强、功利算计的心态，携手同道之人互帮互助、资源共享，彼此成就、互利共赢，稳步推进事务落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纤绳牵系聚力、众舟共济同行的生活化直观物象为正向参照，在该类事务的推进过程中，核心在于坚守诚信本心、破除狭隘私心。摒弃计较得失、各自为战的不良心态，人际协作中真诚相待、主动互助，同心同步、携手发力。以信任筑牢协作根基，以共赢拓宽发展格局，凝聚各方力量稳步精进，最终实现携手共进、互利双赢的良好成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4012">
    <w:lvl>
      <w:start w:val="1"/>
      <w:numFmt w:val="decimal"/>
      <w:suff w:val="tab"/>
      <w:lvlText w:val="%1."/>
      <w:rPr>
        <w:color w:val="3370ff"/>
      </w:rPr>
    </w:lvl>
  </w:abstractNum>
  <w:abstractNum w:abstractNumId="46401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64012"/>
  </w:num>
  <w:num w:numId="2">
    <w:abstractNumId w:val="4640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2026-08-06T14:53:52Z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{"Label":"1","ContentProducer":"001191110102MACQD9K64010000","ProduceID":"7670931928019897644","ReservedCode1":"","ContentPropagator":"","PropagateID":"","ReservedCode2":""}</vt:lpwstr>
  </property>
</Properties>
</file>