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00054｜戒盈守谦，知止稳局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摘要：积累已满、阶段性收官，当戒盈守谦，警惕盛极而衰、盈亏更替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已经完成阶段性沉淀与积累，整体进度趋近饱满收官的状态，在该事务的收尾维稳、后续规划过程中，大概率具备阶段性成果落地、局势向好的基础条件。该阶段易出现的核心心态误区，是骄满松懈、恃功自满，大概率会因短期成果滋生浮躁傲气，误认为局势稳固恒定、无需持续精进，进而放松自省复盘、疏于风险把控。在该事务的推进过程中，这类盈满不谦、不知收敛的心态，大概率会让人丧失危机意识，忽略世事盈亏更替的自然规律，在局势鼎盛阶段暗藏衰败隐患，让原本稳固的成果逐步松动、向好态势出现逆转。长期持骄怠之心、不懂知止守拙，大概率会出现盛极转衰、功成复损的情况，让前期积累付诸损耗。因此在该类事务中，需摒弃骄满浮躁、松懈懈怠的执念，保持谦逊自省的心态，懂得阶段性收官不代表终点，主动戒盈守谦、收敛锋芒，稳中维稳、知止蓄力，规避盈亏反转的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收尾沉淀、成果巩固过程中，大概率容易心生自满、放松自律，取得阶段性成效后便懈怠松弛、止步不前，沉迷现有成绩不愿持续深耕复盘，导致后续跟进乏力、优势逐步流失。建议在该类事务中时刻保持谦卑本心，收官不松懈、有成不张扬，及时复盘得失、补齐细微短板，以谦逊姿态稳固现有成果、蓄力后续进阶。</w:t>
        <w:br/>
        <w:t>手握统筹权限、具备主导能力的</w:t>
      </w:r>
      <w:r>
        <w:rPr>
          <w:rFonts w:eastAsia="等线" w:ascii="Arial" w:cs="Arial" w:hAnsi="Arial"/>
          <w:sz w:val="22"/>
        </w:rPr>
        <w:t>人，在部分事务的全局收官、局势维稳过程中，易出现轻敌大意、过度扩张的问题，大概率会在局势鼎盛、成果饱满时放松管控、盲目拓进，不懂收敛守止，忽视盛极必衰的更替规律，导致布局失衡、团队松懈，埋下局势反噬的隐患。建议在该类事务中秉持守谦知止的格局，鼎盛之时存敬畏、圆满之时懂收敛，精简优化布局、谨慎把控节奏，规避盈满隐患，长久守住优势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总起段：守谦知止、盛中存戒，则成果稳固、绵延有序；骄盈松懈、不知收敛，则盛势易退、盈亏反转。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盆蓄水、过溢必失：水盆蓄水至满、抵达极限，若持续加注、不懂停手，便会水流外溢、存量损耗，前期积攒的水量尽数流失；对应人在部分事务中积累圆满、成果落地后，若心存骄满、肆意妄进，不懂收敛守止，现有成果极易损耗流失，稳定局势顺势崩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月将满、渐趋亏缺：月亮行至圆满极致之时，便会自然开启盈亏更替、由满转缺，无恒满不衰的态势；对应世事盛衰有度、盈亏循环，人在事务鼎盛收官阶段，更需心存敬畏、戒除骄怠，以谦逊守止规避盛极而衰的反转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满盆溢失、圆月盈亏的生活化直观物象为警示参照，在该类事务的推进过程中，核心在于看透盈亏更替、盛衰转化的客观规律。坚决摒弃骄满自大、松懈懈怠的不良心态，越是积累饱满、局势向好，越要守谦戒盈、知止蓄力。收敛浮躁心性、谨慎把控节奏，扎实稳固现有积累、规避局势反转隐患，方能守住阶段性成果，实现稳局长续、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7310">
    <w:lvl>
      <w:start w:val="1"/>
      <w:numFmt w:val="decimal"/>
      <w:suff w:val="tab"/>
      <w:lvlText w:val="%1."/>
      <w:rPr>
        <w:color w:val="3370ff"/>
      </w:rPr>
    </w:lvl>
  </w:abstractNum>
  <w:abstractNum w:abstractNumId="69731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697310"/>
  </w:num>
  <w:num w:numId="2">
    <w:abstractNumId w:val="6973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2026-08-06T14:54:27Z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{"Label":"1","ContentProducer":"001191110102MACQD9K64010000","ProduceID":"7670932081304407323","ReservedCode1":"","ContentPropagator":"","PropagateID":"","ReservedCode2":""}</vt:lpwstr>
  </property>
</Properties>
</file>