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00063｜居安思危，慎守顺境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摘要：境遇顺遂之时，当居安思危、常怀忧患，杜绝安逸懈怠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整体境遇通顺、走势向好，处于进展平稳、少有波折的顺遂阶段，在该事务的稳步推进、长期维稳过程中，大概率拥有天时顺势、进展无忧的良好基础。该阶段易出现的核心心态误区，是安于现状、懈怠松弛，大概率会因长期境遇安稳而放松警惕，滋生安逸享乐、得过且过的心态，默认局势会永久平顺，疏于风险排查、沉淀精进与细节把控。在该事务的推进过程中，这类居安忘危、懈怠松弛的心态，大概率会让人沉溺顺境、丧失忧患意识，忽略世事往复、平陂更替的客观规律，让隐性隐患逐步累积、悄然滋生，慢慢打破安稳局势，造成后续进度阻滞、成果损耗。长期耽于安逸、疏于自持，大概率会顺境生危、泰极生弊，让原本顺遂的事务生出波折。因此在该类事务中，需摒弃安逸懈怠、松弛放任的执念，常怀忧患敬畏之心，于顺遂之时谨守自律、持续精进，居安思危、防微杜渐，长久稳住向好局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稳步推进、日常积淀过程中，大概率容易身处顺境后心态松弛，满足于当下平稳状态，疏于能力打磨与细节精进，做事敷衍懈怠、缺少进取意识，长期安逸度日容易弱化自身竞争力，遭遇局势变动时难以从容应对。建议在该类事务中顺境不惰、安稳不怠，时刻保持适度警醒，在平稳阶段持续沉淀积累、补齐细微短板，以精进姿态守住顺遂、抵御未知风险。</w:t>
        <w:br/>
        <w:t>手握统筹权限、具备主导能力的人，</w:t>
      </w:r>
      <w:r>
        <w:rPr>
          <w:rFonts w:eastAsia="等线" w:ascii="Arial" w:cs="Arial" w:hAnsi="Arial"/>
          <w:sz w:val="22"/>
        </w:rPr>
        <w:t>在部分事务的全局维稳、长线布局过程中，易出现恃顺松懈、疏于风控的问题，大概率会因局势长期通顺而放松管理、缩减投入，忽视团队懈怠、流程漏洞与潜在变数，盲目笃定现状安稳，缺少应急预备与迭代规划。建议在该类事务中深谙盛衰更替的规律，顺境之中常怀戒备，不贪安逸、不废精进，持续优化布局、收紧风控细节，以忧患之心稳守全局、规避顺境藏危的隐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总起段：顺境存戒、常怀忧患，则安稳可久、局势恒通；耽于安逸、懈怠松弛，则隐患暗生、顺境易破。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川防陂、预避起伏：平地虽坦荡通畅、行走无忧，但世间行路无恒平之态，平稳路段亦暗藏起伏陡坡，提前戒备、稳步谨行，方能规避失足阻滞；对应人在部分事务顺遂向好之时，不沉溺安稳、不放松警惕，明晰平陂往复的规律，常怀忧患之心，主动排查隐患、提前设防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水守持、防微杜渐：平湖水面安稳平静、无波无扰，但若疏于养护、放任懈怠，易积淤藏污、渐失澄澈，日久便会滋生隐患、破坏稳态；对应人在部分事务的顺境阶段，持续自律精进、杜绝安逸松懈，细微之处坚守自持，不让懈怠累积成弊、打破安稳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平川防陂、静水守持的生活化直观物象为警示参照，在该类事务的推进过程中，核心在于通晓世事往复、盛衰更替的常理。彻底戒除安逸懈怠、居安忘危的不良心态，不被顺遂境遇麻痹心性，越是局势通顺、进展平稳，越要心存敬畏、慎守自持。于顺境中蓄力精进、于安稳中排查隐患，以忧患之心守住现有优势、规避后续波折，方能让顺遂局势长久延续、行稳致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0888">
    <w:lvl>
      <w:start w:val="1"/>
      <w:numFmt w:val="decimal"/>
      <w:suff w:val="tab"/>
      <w:lvlText w:val="%1."/>
      <w:rPr>
        <w:color w:val="3370ff"/>
      </w:rPr>
    </w:lvl>
  </w:abstractNum>
  <w:abstractNum w:abstractNumId="14088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40888"/>
  </w:num>
  <w:num w:numId="2">
    <w:abstractNumId w:val="14088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2026-08-06T23:48:05Z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{"Label":"1","ContentProducer":"001191110102MACQD9K64010000","ProduceID":"7671069480114146546","ReservedCode1":"","ContentPropagator":"","PropagateID":"","ReservedCode2":""}</vt:lpwstr>
  </property>
</Properties>
</file>