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00075｜隐忍止争，待机化歧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摘要：有分歧争端之时，隐忍克制、不妄争斗，静待时机化解矛盾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人际立场存有差异、观点难以统一，处于分歧暗生、争端潜藏的博弈阶段，在该事务的人际磨合、共识凝聚、矛盾处理过程中，大概率各方理念不一、立场对峙，极易诱发争辩博弈、对立冲突。该阶段易出现的核心心态误区，是逞强好胜、妄动相争，大概率会因观点分歧心生执拗，急于辩赢对错、争持高下，不甘退让隐忍、不愿包容差异，主动挑起对峙与博弈。在该事务的推进过程中，这类好胜争持、妄动相争的心态，大概率会激化人际矛盾、放大立场分歧，原本细微的理念差异演变为显性争端，破坏同心协作氛围，造成事务阻滞、人际隔阂。长期遇事好争、不懂克制，大概率会加剧对立态势、固化矛盾僵局，难以重塑同心格局。因此在该类事务中，需摒弃争强好胜、妄动博弈的执念，收敛锋芒、隐忍克制，面对分歧不妄争斗、不急于辩驳，沉淀心绪静待时机，循序渐进化解矛盾、消融分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观点磨合、协作对接过程中，大概率容易执拗己见、好胜心重，面对意见分歧急于争辩求证，不甘示弱、强行辩驳，小事较真、执意争理，无端放大人际矛盾、加剧协作摩擦。建议在该类事务中收敛争心、克制锋芒，面对差异坦然包容，不逞口舌之争、不做无谓对峙，隐忍自持、静待契机，温和化解分歧争端。</w:t>
        <w:br/>
        <w:t>手握统筹权限、具备主导能力的人，</w:t>
      </w:r>
      <w:r>
        <w:rPr>
          <w:rFonts w:eastAsia="等线" w:ascii="Arial" w:cs="Arial" w:hAnsi="Arial"/>
          <w:sz w:val="22"/>
        </w:rPr>
        <w:t>在部分事务的团队磨合、全局协调过程中，易出现强势辩争、刚硬对峙的问题，大概率会固守自身决策与理念，难以接纳不同声音，遇有分歧便强势辩驳、强行统一，姿态刚硬、不懂退让，极易激化团队对立、割裂人心。建议在该类事务中放平姿态、隐忍止争，包容多元差异、克制博弈心态，不强行争持、不激化矛盾，静待局势缓和、时机成熟，逐步调和各方分歧、重塑同心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总起段：隐忍克制、待机调和，则分歧渐消、争端自解；逞强妄争、急于辩驳，则矛盾激化、对立难平。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莽伏兵、静守不发：密林藏势、暗蓄张力，虽有对峙之势却隐忍不发、不轻举妄动，静待时局明朗、时机成熟再顺势而动，避免贸然争斗招致损耗；对应人在分歧争端之中，克制好胜之心、不妄争辩对峙，沉心自持、静待化解契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地静观、缓待转机：身居高处察势观变，不急于出手博弈、不强行辩驳争理，耐心观望局势走向、等待矛盾缓和，以静制动、以缓解争；对应人面对立场差异与人际分歧，收敛锋芒、隐忍退让，依托时机自然化解矛盾、消融对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草莽伏兵静守、高地静观缓变的直观物象为警示参照，在该类事务的推进过程中，核心在于止争隐忍、待机化歧。彻底戒除好胜逞强、妄动争辩的不良心态，明晰分歧博弈宜静不宜动、宜缓不宜急的规律。遇事不执拗、遇争不妄为，收敛个人锋芒、包容人际差异，以克制姿态稳住对立局势，静待时机逐步调和矛盾、消融分歧，重归同心协作的良性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670">
    <w:lvl>
      <w:start w:val="1"/>
      <w:numFmt w:val="decimal"/>
      <w:suff w:val="tab"/>
      <w:lvlText w:val="%1."/>
      <w:rPr>
        <w:color w:val="3370ff"/>
      </w:rPr>
    </w:lvl>
  </w:abstractNum>
  <w:abstractNum w:abstractNumId="6567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5670"/>
  </w:num>
  <w:num w:numId="2">
    <w:abstractNumId w:val="656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2026-08-07T00:02:22Z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{"Label":"1","ContentProducer":"001191110102MACQD9K64010000","ProduceID":"7671073196141743285","ReservedCode1":"","ContentPropagator":"","PropagateID":"","ReservedCode2":""}</vt:lpwstr>
  </property>
</Properties>
</file>