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00082｜戒盈守谦，去虚存实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摘要：境遇鼎盛切忌奢靡自满，去虚存实、戒盈守谦，稳固成果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境遇鼎盛、所得丰盈的利好阶段，在该事务的高位守成、成果维稳、长线固势过程中，整体势能充沛、外在境遇光鲜，极易滋生虚浮态势与奢靡心念。该阶段易出现的核心心态误区，是盈满自骄、崇虚奢靡，大概率会身处鼎盛境遇便沉溺浮华、追逐虚势，满足于表面光鲜、外在赞誉，滋生奢靡松弛、自满懈怠的心态，不再深耕务实、潜心固本。在该事务的推进过程中，这类盈而不戒、虚而不实的心态，大概率会逐步剥离内在实质、掏空核心根基，外在繁盛仍在，内在底蕴日渐耗散，导致成果虚浮不稳、盛势难以久持。长期奢靡自满、务虚弃实，大概率会由盈转亏、盛势回落，辛苦积累的成果难以稳固存续。因此在该类事务中，需摒弃奢靡懈怠、盈满自矜的执念，深谙物极必盈、满则易损的规律，主动戒除虚浮表象、留存务实本心，守谦去奢、固本务实，以踏实修为稳固鼎盛成果、守住现有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鼎盛守成、高位维稳过程中，大概率容易境遇顺遂便心生自满，贪恋虚名浮华、滋生奢靡松弛，疏于务实深耕、懈怠细节打磨，导致自身积累虚浮不实、竞争力弱化。建议在该类事务中戒盈守谦、摒弃虚奢，不执着外在光鲜、不沉溺当下满盈，沉心务实做事、深耕核心能力，去虚存实、踏实固本，稳稳守住自身成果与立身优势。</w:t>
        <w:br/>
        <w:t>手握统筹权限、</w:t>
      </w:r>
      <w:r>
        <w:rPr>
          <w:rFonts w:eastAsia="等线" w:ascii="Arial" w:cs="Arial" w:hAnsi="Arial"/>
          <w:sz w:val="22"/>
        </w:rPr>
        <w:t>具备主导能力的人，在部分事务的全局鼎盛、格局运维过程中，易出现铺张奢靡、务虚自满的问题，大概率会因格局已成、局势鼎盛便追求形式浮华、疏于实质精进，满足于表面成效、忽视内核深耕，决策偏向虚势、布局脱离务实，导致全局底蕴松动、成果空心化。建议在该类事务中常怀守谦之心，杜绝奢靡铺陈、摒弃自满懈怠，聚焦核心实质、剔除冗余虚势，以务实布局稳固全局成果，收敛盈满态势、延续长久繁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总起段：戒盈守谦、务实去虚，则盛根稳固、成果长存；奢靡自满、务虚弃实，则底蕴空耗、鼎盛难守。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器防溢、删虚守实：器物充盈已满、态势丰盈，若一味堆砌浮华、不做删减，极易盈满倾覆、耗损本物，唯有剔除虚赘、留存实质，谦守尺度、不贪满盈，方能器物恒稳、所得长存；对应人身处鼎盛之时戒除奢靡自满，舍弃虚浮浮华，深耕务实内核、稳固现有成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花去冗、固本留真：花木繁盛满枝、繁花似锦，若冗余过盛、虚华叠加，会耗损根本养分、拖累枝干生机，唯有裁去虚冗、留存真质，守谦不盈、专注固本，方能花期绵长、生机不衰；对应人境遇鼎盛之时去虚存实、戒盈守谦，摒弃虚妄奢靡，以务实本心守住盛势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满器删虚守实、繁花去冗固本的直观物象为警示参照，在该类事务的推进过程中，核心在于盛时戒盈、虚中求实。彻底戒除奢靡松弛、自满务虚的不良心态，明晰鼎盛最易滋生虚奢、满盈最易损耗根基的客观规律。不贪恋浮华表象、不沉溺满盈境遇，主动收敛骄奢心态、剔除虚浮冗余，潜心务实深耕、谦心守固成果，让鼎盛态势扎根实处、长久安稳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5816">
    <w:lvl>
      <w:start w:val="1"/>
      <w:numFmt w:val="decimal"/>
      <w:suff w:val="tab"/>
      <w:lvlText w:val="%1."/>
      <w:rPr>
        <w:color w:val="3370ff"/>
      </w:rPr>
    </w:lvl>
  </w:abstractNum>
  <w:abstractNum w:abstractNumId="102581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25816"/>
  </w:num>
  <w:num w:numId="2">
    <w:abstractNumId w:val="10258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2026-08-07T00:06:25Z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{"Label":"1","ContentProducer":"001191110102MACQD9K64010000","ProduceID":"7671074264532258014","ReservedCode1":"","ContentPropagator":"","PropagateID":"","ReservedCode2":""}</vt:lpwstr>
  </property>
</Properties>
</file>